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17.xml" ContentType="application/vnd.openxmlformats-officedocument.wordprocessingml.header+xml"/>
  <Override PartName="/word/footer23.xml" ContentType="application/vnd.openxmlformats-officedocument.wordprocessingml.footer+xml"/>
  <Override PartName="/word/header1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19.xml" ContentType="application/vnd.openxmlformats-officedocument.wordprocessingml.header+xml"/>
  <Override PartName="/word/footer26.xml" ContentType="application/vnd.openxmlformats-officedocument.wordprocessingml.footer+xml"/>
  <Override PartName="/word/header20.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1.xml" ContentType="application/vnd.openxmlformats-officedocument.wordprocessingml.header+xml"/>
  <Override PartName="/word/footer29.xml" ContentType="application/vnd.openxmlformats-officedocument.wordprocessingml.footer+xml"/>
  <Override PartName="/word/header22.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3.xml" ContentType="application/vnd.openxmlformats-officedocument.wordprocessingml.header+xml"/>
  <Override PartName="/word/footer32.xml" ContentType="application/vnd.openxmlformats-officedocument.wordprocessingml.footer+xml"/>
  <Override PartName="/word/header2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25.xml" ContentType="application/vnd.openxmlformats-officedocument.wordprocessingml.header+xml"/>
  <Override PartName="/word/footer35.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28.xml" ContentType="application/vnd.openxmlformats-officedocument.wordprocessingml.header+xml"/>
  <Override PartName="/word/footer3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2277D" w:rsidRPr="001A0E92" w:rsidRDefault="00950597">
      <w:pPr>
        <w:pageBreakBefore/>
      </w:pPr>
      <w:r w:rsidRPr="001A0E92">
        <w:rPr>
          <w:rFonts w:ascii="華康粗圓體" w:eastAsia="華康粗圓體" w:hAnsi="標楷體"/>
          <w:noProof/>
          <w:sz w:val="72"/>
          <w:szCs w:val="72"/>
        </w:rPr>
        <w:drawing>
          <wp:anchor distT="0" distB="0" distL="114300" distR="114300" simplePos="0" relativeHeight="251662848" behindDoc="1" locked="1" layoutInCell="1" allowOverlap="1" wp14:anchorId="56402AE5" wp14:editId="76BA8634">
            <wp:simplePos x="0" y="0"/>
            <wp:positionH relativeFrom="column">
              <wp:posOffset>-1125855</wp:posOffset>
            </wp:positionH>
            <wp:positionV relativeFrom="page">
              <wp:posOffset>-114935</wp:posOffset>
            </wp:positionV>
            <wp:extent cx="7632000" cy="10796400"/>
            <wp:effectExtent l="0" t="0" r="7620" b="5080"/>
            <wp:wrapNone/>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66封面-斯洛伐克-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2000" cy="10796400"/>
                    </a:xfrm>
                    <a:prstGeom prst="rect">
                      <a:avLst/>
                    </a:prstGeom>
                  </pic:spPr>
                </pic:pic>
              </a:graphicData>
            </a:graphic>
            <wp14:sizeRelH relativeFrom="margin">
              <wp14:pctWidth>0</wp14:pctWidth>
            </wp14:sizeRelH>
            <wp14:sizeRelV relativeFrom="margin">
              <wp14:pctHeight>0</wp14:pctHeight>
            </wp14:sizeRelV>
          </wp:anchor>
        </w:drawing>
      </w:r>
      <w:r w:rsidR="000F0C19" w:rsidRPr="001A0E92">
        <w:rPr>
          <w:rFonts w:ascii="華康粗圓體" w:eastAsia="華康粗圓體" w:hAnsi="標楷體"/>
          <w:noProof/>
          <w:sz w:val="72"/>
          <w:szCs w:val="72"/>
        </w:rPr>
        <mc:AlternateContent>
          <mc:Choice Requires="wps">
            <w:drawing>
              <wp:anchor distT="0" distB="0" distL="114300" distR="114300" simplePos="0" relativeHeight="251661824" behindDoc="0" locked="1" layoutInCell="1" allowOverlap="1" wp14:anchorId="286F6628" wp14:editId="54AEDFED">
                <wp:simplePos x="0" y="0"/>
                <wp:positionH relativeFrom="column">
                  <wp:posOffset>-1124585</wp:posOffset>
                </wp:positionH>
                <wp:positionV relativeFrom="page">
                  <wp:posOffset>9606915</wp:posOffset>
                </wp:positionV>
                <wp:extent cx="7642800" cy="1087200"/>
                <wp:effectExtent l="0" t="0" r="0" b="0"/>
                <wp:wrapNone/>
                <wp:docPr id="7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Pr="00950597" w:rsidRDefault="005A5E4E" w:rsidP="000F0C19">
                            <w:pPr>
                              <w:adjustRightInd w:val="0"/>
                              <w:snapToGrid w:val="0"/>
                              <w:spacing w:after="40"/>
                              <w:jc w:val="center"/>
                              <w:rPr>
                                <w:rFonts w:ascii="Arial Unicode MS" w:hAnsi="Arial Unicode MS"/>
                                <w:color w:val="FFFFFF" w:themeColor="background1"/>
                                <w:spacing w:val="20"/>
                                <w:sz w:val="32"/>
                                <w:szCs w:val="32"/>
                              </w:rPr>
                            </w:pPr>
                            <w:r w:rsidRPr="00950597">
                              <w:rPr>
                                <w:rFonts w:ascii="Arial Unicode MS" w:hAnsi="Arial Unicode MS" w:hint="eastAsia"/>
                                <w:color w:val="FFFFFF" w:themeColor="background1"/>
                                <w:spacing w:val="20"/>
                                <w:sz w:val="32"/>
                                <w:szCs w:val="32"/>
                              </w:rPr>
                              <w:t>經濟部投資促進司　編印</w:t>
                            </w:r>
                          </w:p>
                          <w:p w:rsidR="005A5E4E" w:rsidRPr="00950597" w:rsidRDefault="005A5E4E" w:rsidP="000F0C19">
                            <w:pPr>
                              <w:adjustRightInd w:val="0"/>
                              <w:snapToGrid w:val="0"/>
                              <w:spacing w:after="40"/>
                              <w:jc w:val="center"/>
                              <w:rPr>
                                <w:rFonts w:ascii="Arial" w:hAnsi="Arial" w:cs="Arial"/>
                                <w:color w:val="FFFFFF" w:themeColor="background1"/>
                                <w:sz w:val="22"/>
                                <w:szCs w:val="22"/>
                              </w:rPr>
                            </w:pPr>
                            <w:r w:rsidRPr="00950597">
                              <w:rPr>
                                <w:rFonts w:ascii="Arial" w:hAnsi="Arial" w:cs="Arial"/>
                                <w:color w:val="FFFFFF" w:themeColor="background1"/>
                                <w:sz w:val="22"/>
                                <w:szCs w:val="22"/>
                              </w:rPr>
                              <w:t>Department of Investment Promotion, Ministry of Economic Affairs</w:t>
                            </w:r>
                          </w:p>
                          <w:p w:rsidR="005A5E4E" w:rsidRPr="00950597" w:rsidRDefault="005A5E4E" w:rsidP="000F0C19">
                            <w:pPr>
                              <w:adjustRightInd w:val="0"/>
                              <w:snapToGrid w:val="0"/>
                              <w:spacing w:after="40"/>
                              <w:jc w:val="center"/>
                              <w:rPr>
                                <w:rFonts w:ascii="Arial" w:hAnsi="Arial"/>
                                <w:color w:val="FFFFFF" w:themeColor="background1"/>
                                <w:spacing w:val="20"/>
                              </w:rPr>
                            </w:pPr>
                            <w:r w:rsidRPr="00950597">
                              <w:rPr>
                                <w:rFonts w:ascii="Arial" w:hAnsi="Arial" w:hint="eastAsia"/>
                                <w:color w:val="FFFFFF" w:themeColor="background1"/>
                                <w:spacing w:val="20"/>
                              </w:rPr>
                              <w:t>中華民國</w:t>
                            </w:r>
                            <w:r w:rsidRPr="00950597">
                              <w:rPr>
                                <w:rFonts w:ascii="華康細圓體" w:hint="eastAsia"/>
                                <w:color w:val="FFFFFF" w:themeColor="background1"/>
                                <w:spacing w:val="20"/>
                              </w:rPr>
                              <w:t>１１２</w:t>
                            </w:r>
                            <w:r w:rsidRPr="00950597">
                              <w:rPr>
                                <w:rFonts w:ascii="華康細圓體" w:hAnsi="Arial" w:hint="eastAsia"/>
                                <w:color w:val="FFFFFF" w:themeColor="background1"/>
                                <w:spacing w:val="20"/>
                              </w:rPr>
                              <w:t>年</w:t>
                            </w:r>
                            <w:proofErr w:type="gramStart"/>
                            <w:r w:rsidRPr="00950597">
                              <w:rPr>
                                <w:rFonts w:ascii="華康細圓體" w:hAnsi="Arial" w:hint="eastAsia"/>
                                <w:color w:val="FFFFFF" w:themeColor="background1"/>
                                <w:spacing w:val="20"/>
                              </w:rPr>
                              <w:t>９</w:t>
                            </w:r>
                            <w:proofErr w:type="gramEnd"/>
                            <w:r w:rsidRPr="00950597">
                              <w:rPr>
                                <w:rFonts w:ascii="華康細圓體" w:hAnsi="Arial" w:hint="eastAsia"/>
                                <w:color w:val="FFFFFF" w:themeColor="background1"/>
                                <w:spacing w:val="2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26" type="#_x0000_t202" style="position:absolute;left:0;text-align:left;margin-left:-88.55pt;margin-top:756.45pt;width:601.8pt;height:8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" fillcolor="#339" stroked="f">
                <v:textbox inset="0,4mm,0,0">
                  <w:txbxContent>
                    <w:p w:rsidR="005A5E4E" w:rsidRPr="00950597" w:rsidRDefault="005A5E4E" w:rsidP="000F0C19">
                      <w:pPr>
                        <w:adjustRightInd w:val="0"/>
                        <w:snapToGrid w:val="0"/>
                        <w:spacing w:after="40"/>
                        <w:jc w:val="center"/>
                        <w:rPr>
                          <w:rFonts w:ascii="Arial Unicode MS" w:hAnsi="Arial Unicode MS"/>
                          <w:color w:val="FFFFFF" w:themeColor="background1"/>
                          <w:spacing w:val="20"/>
                          <w:sz w:val="32"/>
                          <w:szCs w:val="32"/>
                        </w:rPr>
                      </w:pPr>
                      <w:r w:rsidRPr="00950597">
                        <w:rPr>
                          <w:rFonts w:ascii="Arial Unicode MS" w:hAnsi="Arial Unicode MS" w:hint="eastAsia"/>
                          <w:color w:val="FFFFFF" w:themeColor="background1"/>
                          <w:spacing w:val="20"/>
                          <w:sz w:val="32"/>
                          <w:szCs w:val="32"/>
                        </w:rPr>
                        <w:t>經濟部投資促進司　編印</w:t>
                      </w:r>
                    </w:p>
                    <w:p w:rsidR="005A5E4E" w:rsidRPr="00950597" w:rsidRDefault="005A5E4E" w:rsidP="000F0C19">
                      <w:pPr>
                        <w:adjustRightInd w:val="0"/>
                        <w:snapToGrid w:val="0"/>
                        <w:spacing w:after="40"/>
                        <w:jc w:val="center"/>
                        <w:rPr>
                          <w:rFonts w:ascii="Arial" w:hAnsi="Arial" w:cs="Arial"/>
                          <w:color w:val="FFFFFF" w:themeColor="background1"/>
                          <w:sz w:val="22"/>
                          <w:szCs w:val="22"/>
                        </w:rPr>
                      </w:pPr>
                      <w:r w:rsidRPr="00950597">
                        <w:rPr>
                          <w:rFonts w:ascii="Arial" w:hAnsi="Arial" w:cs="Arial"/>
                          <w:color w:val="FFFFFF" w:themeColor="background1"/>
                          <w:sz w:val="22"/>
                          <w:szCs w:val="22"/>
                        </w:rPr>
                        <w:t>Department of Investment Promotion, Ministry of Economic Affairs</w:t>
                      </w:r>
                    </w:p>
                    <w:p w:rsidR="005A5E4E" w:rsidRPr="00950597" w:rsidRDefault="005A5E4E" w:rsidP="000F0C19">
                      <w:pPr>
                        <w:adjustRightInd w:val="0"/>
                        <w:snapToGrid w:val="0"/>
                        <w:spacing w:after="40"/>
                        <w:jc w:val="center"/>
                        <w:rPr>
                          <w:rFonts w:ascii="Arial" w:hAnsi="Arial"/>
                          <w:color w:val="FFFFFF" w:themeColor="background1"/>
                          <w:spacing w:val="20"/>
                        </w:rPr>
                      </w:pPr>
                      <w:r w:rsidRPr="00950597">
                        <w:rPr>
                          <w:rFonts w:ascii="Arial" w:hAnsi="Arial" w:hint="eastAsia"/>
                          <w:color w:val="FFFFFF" w:themeColor="background1"/>
                          <w:spacing w:val="20"/>
                        </w:rPr>
                        <w:t>中華民國</w:t>
                      </w:r>
                      <w:r w:rsidRPr="00950597">
                        <w:rPr>
                          <w:rFonts w:ascii="華康細圓體" w:hint="eastAsia"/>
                          <w:color w:val="FFFFFF" w:themeColor="background1"/>
                          <w:spacing w:val="20"/>
                        </w:rPr>
                        <w:t>１１２</w:t>
                      </w:r>
                      <w:r w:rsidRPr="00950597">
                        <w:rPr>
                          <w:rFonts w:ascii="華康細圓體" w:hAnsi="Arial" w:hint="eastAsia"/>
                          <w:color w:val="FFFFFF" w:themeColor="background1"/>
                          <w:spacing w:val="20"/>
                        </w:rPr>
                        <w:t>年</w:t>
                      </w:r>
                      <w:proofErr w:type="gramStart"/>
                      <w:r w:rsidRPr="00950597">
                        <w:rPr>
                          <w:rFonts w:ascii="華康細圓體" w:hAnsi="Arial" w:hint="eastAsia"/>
                          <w:color w:val="FFFFFF" w:themeColor="background1"/>
                          <w:spacing w:val="20"/>
                        </w:rPr>
                        <w:t>９</w:t>
                      </w:r>
                      <w:proofErr w:type="gramEnd"/>
                      <w:r w:rsidRPr="00950597">
                        <w:rPr>
                          <w:rFonts w:ascii="華康細圓體" w:hAnsi="Arial" w:hint="eastAsia"/>
                          <w:color w:val="FFFFFF" w:themeColor="background1"/>
                          <w:spacing w:val="20"/>
                        </w:rPr>
                        <w:t>月</w:t>
                      </w:r>
                    </w:p>
                  </w:txbxContent>
                </v:textbox>
                <w10:wrap anchory="page"/>
                <w10:anchorlock/>
              </v:shape>
            </w:pict>
          </mc:Fallback>
        </mc:AlternateContent>
      </w:r>
      <w:bookmarkStart w:id="0" w:name="_Toc370093185"/>
      <w:bookmarkStart w:id="1" w:name="_Toc429576269"/>
      <w:r w:rsidR="00B866A9" w:rsidRPr="001A0E92">
        <w:rPr>
          <w:rFonts w:hint="eastAsia"/>
        </w:rPr>
        <w:t xml:space="preserve"> </w:t>
      </w:r>
    </w:p>
    <w:p w:rsidR="0032277D" w:rsidRPr="001A0E92" w:rsidRDefault="0032277D" w:rsidP="006F3E9A">
      <w:pPr>
        <w:pStyle w:val="aff"/>
        <w:pageBreakBefore/>
        <w:ind w:firstLine="472"/>
      </w:pPr>
    </w:p>
    <w:tbl>
      <w:tblPr>
        <w:tblW w:w="0" w:type="auto"/>
        <w:tblInd w:w="28" w:type="dxa"/>
        <w:tblLayout w:type="fixed"/>
        <w:tblCellMar>
          <w:left w:w="28" w:type="dxa"/>
          <w:right w:w="28" w:type="dxa"/>
        </w:tblCellMar>
        <w:tblLook w:val="0000" w:firstRow="0" w:lastRow="0" w:firstColumn="0" w:lastColumn="0" w:noHBand="0" w:noVBand="0"/>
      </w:tblPr>
      <w:tblGrid>
        <w:gridCol w:w="8560"/>
      </w:tblGrid>
      <w:tr w:rsidR="001A0E92" w:rsidRPr="001A0E92">
        <w:trPr>
          <w:trHeight w:val="1293"/>
        </w:trPr>
        <w:tc>
          <w:tcPr>
            <w:tcW w:w="8560" w:type="dxa"/>
            <w:shd w:val="clear" w:color="auto" w:fill="auto"/>
            <w:vAlign w:val="center"/>
          </w:tcPr>
          <w:p w:rsidR="0032277D" w:rsidRPr="001A0E92" w:rsidRDefault="0032277D" w:rsidP="009E009F">
            <w:pPr>
              <w:pStyle w:val="aff"/>
              <w:pageBreakBefore/>
            </w:pPr>
          </w:p>
        </w:tc>
      </w:tr>
      <w:tr w:rsidR="001A0E92" w:rsidRPr="001A0E92">
        <w:trPr>
          <w:trHeight w:val="1701"/>
        </w:trPr>
        <w:tc>
          <w:tcPr>
            <w:tcW w:w="8560" w:type="dxa"/>
            <w:shd w:val="clear" w:color="auto" w:fill="auto"/>
            <w:vAlign w:val="center"/>
          </w:tcPr>
          <w:p w:rsidR="0032277D" w:rsidRPr="001A0E92" w:rsidRDefault="0032277D" w:rsidP="009E009F">
            <w:pPr>
              <w:pStyle w:val="a0"/>
              <w:ind w:left="591" w:right="591" w:firstLineChars="0" w:firstLine="0"/>
            </w:pPr>
            <w:r w:rsidRPr="001A0E92">
              <w:rPr>
                <w:rFonts w:ascii="華康粗圓體" w:eastAsia="華康粗圓體" w:hAnsi="華康粗圓體"/>
                <w:sz w:val="72"/>
                <w:szCs w:val="72"/>
              </w:rPr>
              <w:t>斯</w:t>
            </w:r>
            <w:proofErr w:type="gramStart"/>
            <w:r w:rsidRPr="001A0E92">
              <w:rPr>
                <w:rFonts w:ascii="華康粗圓體" w:eastAsia="華康粗圓體" w:hAnsi="華康粗圓體"/>
                <w:sz w:val="72"/>
                <w:szCs w:val="72"/>
              </w:rPr>
              <w:t>洛</w:t>
            </w:r>
            <w:proofErr w:type="gramEnd"/>
            <w:r w:rsidRPr="001A0E92">
              <w:rPr>
                <w:rFonts w:ascii="華康粗圓體" w:eastAsia="華康粗圓體" w:hAnsi="華康粗圓體"/>
                <w:sz w:val="72"/>
                <w:szCs w:val="72"/>
              </w:rPr>
              <w:t>伐克投資環境簡介</w:t>
            </w:r>
          </w:p>
          <w:p w:rsidR="0032277D" w:rsidRPr="001A0E92" w:rsidRDefault="0032277D" w:rsidP="009E009F">
            <w:pPr>
              <w:pStyle w:val="a0"/>
              <w:ind w:left="591" w:right="591" w:firstLineChars="0" w:firstLine="0"/>
            </w:pPr>
            <w:r w:rsidRPr="001A0E92">
              <w:rPr>
                <w:rFonts w:ascii="華康粗圓體" w:eastAsia="華康粗圓體" w:hAnsi="華康粗圓體"/>
                <w:sz w:val="48"/>
                <w:szCs w:val="48"/>
              </w:rPr>
              <w:t>Investment Guide to Slovakia</w:t>
            </w:r>
          </w:p>
        </w:tc>
      </w:tr>
      <w:tr w:rsidR="001A0E92" w:rsidRPr="001A0E92">
        <w:trPr>
          <w:trHeight w:val="8037"/>
        </w:trPr>
        <w:tc>
          <w:tcPr>
            <w:tcW w:w="8560" w:type="dxa"/>
            <w:shd w:val="clear" w:color="auto" w:fill="auto"/>
          </w:tcPr>
          <w:p w:rsidR="0032277D" w:rsidRPr="001A0E92" w:rsidRDefault="0032277D" w:rsidP="009E009F">
            <w:pPr>
              <w:pStyle w:val="a0"/>
              <w:ind w:firstLineChars="0" w:firstLine="0"/>
              <w:jc w:val="center"/>
              <w:rPr>
                <w:rFonts w:ascii="華康中特圓體" w:eastAsia="華康中特圓體" w:hAnsi="華康中特圓體"/>
                <w:sz w:val="28"/>
                <w:szCs w:val="28"/>
              </w:rPr>
            </w:pPr>
          </w:p>
          <w:p w:rsidR="0032277D" w:rsidRPr="001A0E92" w:rsidRDefault="0032277D" w:rsidP="009E009F">
            <w:pPr>
              <w:pStyle w:val="a0"/>
              <w:ind w:firstLineChars="0" w:firstLine="0"/>
              <w:jc w:val="center"/>
              <w:rPr>
                <w:rFonts w:ascii="華康中特圓體" w:eastAsia="華康中特圓體" w:hAnsi="華康中特圓體"/>
                <w:sz w:val="28"/>
                <w:szCs w:val="28"/>
              </w:rPr>
            </w:pPr>
          </w:p>
          <w:p w:rsidR="0032277D" w:rsidRPr="001A0E92" w:rsidRDefault="00950597" w:rsidP="009E009F">
            <w:pPr>
              <w:pStyle w:val="a0"/>
              <w:ind w:firstLineChars="0" w:firstLine="0"/>
              <w:jc w:val="center"/>
            </w:pPr>
            <w:r w:rsidRPr="001A0E92">
              <w:rPr>
                <w:rFonts w:ascii="華康中特圓體" w:eastAsia="華康中特圓體" w:hAnsi="華康中特圓體" w:hint="eastAsia"/>
                <w:sz w:val="28"/>
                <w:szCs w:val="28"/>
              </w:rPr>
              <w:t>經濟部投資促進司</w:t>
            </w:r>
            <w:r w:rsidR="0032277D" w:rsidRPr="001A0E92">
              <w:rPr>
                <w:rFonts w:ascii="華康中特圓體" w:eastAsia="華康中特圓體" w:hAnsi="華康中特圓體"/>
                <w:sz w:val="28"/>
                <w:szCs w:val="28"/>
              </w:rPr>
              <w:t xml:space="preserve">  編印</w:t>
            </w:r>
          </w:p>
        </w:tc>
      </w:tr>
    </w:tbl>
    <w:p w:rsidR="0032277D" w:rsidRPr="001A0E92" w:rsidRDefault="0032277D" w:rsidP="009E009F">
      <w:pPr>
        <w:pStyle w:val="a0"/>
        <w:tabs>
          <w:tab w:val="left" w:pos="3540"/>
        </w:tabs>
        <w:ind w:firstLineChars="0" w:firstLine="0"/>
        <w:jc w:val="center"/>
      </w:pPr>
      <w:r w:rsidRPr="001A0E92">
        <w:rPr>
          <w:rFonts w:ascii="華康粗圓體" w:eastAsia="華康粗圓體" w:hAnsi="華康粗圓體"/>
          <w:sz w:val="28"/>
          <w:szCs w:val="28"/>
        </w:rPr>
        <w:t>感謝駐斯</w:t>
      </w:r>
      <w:proofErr w:type="gramStart"/>
      <w:r w:rsidRPr="001A0E92">
        <w:rPr>
          <w:rFonts w:ascii="華康粗圓體" w:eastAsia="華康粗圓體" w:hAnsi="華康粗圓體"/>
          <w:sz w:val="28"/>
          <w:szCs w:val="28"/>
        </w:rPr>
        <w:t>洛</w:t>
      </w:r>
      <w:proofErr w:type="gramEnd"/>
      <w:r w:rsidRPr="001A0E92">
        <w:rPr>
          <w:rFonts w:ascii="華康粗圓體" w:eastAsia="華康粗圓體" w:hAnsi="華康粗圓體"/>
          <w:sz w:val="28"/>
          <w:szCs w:val="28"/>
        </w:rPr>
        <w:t>伐克代表處經濟組協助本書編撰</w:t>
      </w:r>
    </w:p>
    <w:p w:rsidR="0032277D" w:rsidRPr="001A0E92" w:rsidRDefault="0032277D">
      <w:pPr>
        <w:pStyle w:val="a0"/>
        <w:pageBreakBefore/>
        <w:ind w:firstLine="512"/>
        <w:jc w:val="center"/>
        <w:rPr>
          <w:sz w:val="26"/>
          <w:szCs w:val="26"/>
        </w:rPr>
      </w:pPr>
    </w:p>
    <w:p w:rsidR="0032277D" w:rsidRPr="001A0E92" w:rsidRDefault="0032277D">
      <w:pPr>
        <w:pStyle w:val="a0"/>
        <w:ind w:firstLine="512"/>
        <w:jc w:val="center"/>
        <w:rPr>
          <w:sz w:val="26"/>
          <w:szCs w:val="26"/>
        </w:rPr>
      </w:pPr>
    </w:p>
    <w:p w:rsidR="0032277D" w:rsidRPr="001A0E92" w:rsidRDefault="0032277D">
      <w:pPr>
        <w:sectPr w:rsidR="0032277D" w:rsidRPr="001A0E92" w:rsidSect="00D8781B">
          <w:footerReference w:type="even" r:id="rId10"/>
          <w:footerReference w:type="default" r:id="rId11"/>
          <w:pgSz w:w="11906" w:h="16838"/>
          <w:pgMar w:top="2268" w:right="1701" w:bottom="1701" w:left="1701" w:header="1134" w:footer="851" w:gutter="0"/>
          <w:cols w:space="720"/>
          <w:docGrid w:type="linesAndChars" w:linePitch="514" w:charSpace="-819"/>
        </w:sectPr>
      </w:pPr>
    </w:p>
    <w:p w:rsidR="00933D73" w:rsidRPr="001A0E92" w:rsidRDefault="00933D73" w:rsidP="00933D73">
      <w:pPr>
        <w:pStyle w:val="a0"/>
        <w:pageBreakBefore/>
        <w:spacing w:before="514" w:after="514"/>
        <w:ind w:firstLineChars="0" w:firstLine="0"/>
        <w:jc w:val="center"/>
      </w:pPr>
      <w:r w:rsidRPr="001A0E92">
        <w:rPr>
          <w:rFonts w:eastAsia="華康新特明體"/>
          <w:sz w:val="40"/>
          <w:szCs w:val="40"/>
        </w:rPr>
        <w:t>目　錄</w:t>
      </w:r>
    </w:p>
    <w:p w:rsidR="00762D61" w:rsidRPr="001A0E92" w:rsidRDefault="0032277D">
      <w:pPr>
        <w:pStyle w:val="11"/>
        <w:rPr>
          <w:rFonts w:asciiTheme="minorHAnsi" w:eastAsiaTheme="minorEastAsia" w:hAnsiTheme="minorHAnsi" w:cstheme="minorBidi"/>
          <w:noProof/>
          <w:kern w:val="2"/>
          <w:szCs w:val="22"/>
          <w:lang w:val="en-US"/>
        </w:rPr>
      </w:pPr>
      <w:r w:rsidRPr="001A0E92">
        <w:fldChar w:fldCharType="begin"/>
      </w:r>
      <w:r w:rsidRPr="001A0E92">
        <w:instrText xml:space="preserve"> TOC \o "1-3" \t "</w:instrText>
      </w:r>
      <w:r w:rsidRPr="001A0E92">
        <w:instrText>大標</w:instrText>
      </w:r>
      <w:r w:rsidRPr="001A0E92">
        <w:instrText>,1" \h</w:instrText>
      </w:r>
      <w:r w:rsidRPr="001A0E92">
        <w:fldChar w:fldCharType="separate"/>
      </w:r>
      <w:hyperlink w:anchor="_Toc145895370" w:history="1">
        <w:r w:rsidR="00762D61" w:rsidRPr="001A0E92">
          <w:rPr>
            <w:rStyle w:val="ad"/>
            <w:rFonts w:hint="eastAsia"/>
            <w:noProof/>
            <w:color w:val="auto"/>
          </w:rPr>
          <w:t>第壹章</w:t>
        </w:r>
        <w:r w:rsidR="00762D61" w:rsidRPr="001A0E92">
          <w:rPr>
            <w:rStyle w:val="ad"/>
            <w:noProof/>
            <w:color w:val="auto"/>
          </w:rPr>
          <w:t xml:space="preserve">  </w:t>
        </w:r>
        <w:r w:rsidR="00762D61" w:rsidRPr="001A0E92">
          <w:rPr>
            <w:rStyle w:val="ad"/>
            <w:rFonts w:hint="eastAsia"/>
            <w:noProof/>
            <w:color w:val="auto"/>
          </w:rPr>
          <w:t>自然人文環境</w:t>
        </w:r>
        <w:r w:rsidR="00762D61" w:rsidRPr="001A0E92">
          <w:rPr>
            <w:noProof/>
          </w:rPr>
          <w:tab/>
        </w:r>
        <w:r w:rsidR="00762D61" w:rsidRPr="001A0E92">
          <w:rPr>
            <w:noProof/>
          </w:rPr>
          <w:fldChar w:fldCharType="begin"/>
        </w:r>
        <w:r w:rsidR="00762D61" w:rsidRPr="001A0E92">
          <w:rPr>
            <w:noProof/>
          </w:rPr>
          <w:instrText xml:space="preserve"> PAGEREF _Toc145895370 \h </w:instrText>
        </w:r>
        <w:r w:rsidR="00762D61" w:rsidRPr="001A0E92">
          <w:rPr>
            <w:noProof/>
          </w:rPr>
        </w:r>
        <w:r w:rsidR="00762D61" w:rsidRPr="001A0E92">
          <w:rPr>
            <w:noProof/>
          </w:rPr>
          <w:fldChar w:fldCharType="separate"/>
        </w:r>
        <w:r w:rsidR="009612A7">
          <w:rPr>
            <w:noProof/>
          </w:rPr>
          <w:t>1</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1" w:history="1">
        <w:r w:rsidR="00762D61" w:rsidRPr="001A0E92">
          <w:rPr>
            <w:rStyle w:val="ad"/>
            <w:rFonts w:hint="eastAsia"/>
            <w:noProof/>
            <w:color w:val="auto"/>
          </w:rPr>
          <w:t>第貳章</w:t>
        </w:r>
        <w:r w:rsidR="00762D61" w:rsidRPr="001A0E92">
          <w:rPr>
            <w:rStyle w:val="ad"/>
            <w:noProof/>
            <w:color w:val="auto"/>
          </w:rPr>
          <w:t xml:space="preserve">  </w:t>
        </w:r>
        <w:r w:rsidR="00762D61" w:rsidRPr="001A0E92">
          <w:rPr>
            <w:rStyle w:val="ad"/>
            <w:rFonts w:hint="eastAsia"/>
            <w:noProof/>
            <w:color w:val="auto"/>
          </w:rPr>
          <w:t>經濟環境</w:t>
        </w:r>
        <w:r w:rsidR="00762D61" w:rsidRPr="001A0E92">
          <w:rPr>
            <w:noProof/>
          </w:rPr>
          <w:tab/>
        </w:r>
        <w:r w:rsidR="00762D61" w:rsidRPr="001A0E92">
          <w:rPr>
            <w:noProof/>
          </w:rPr>
          <w:fldChar w:fldCharType="begin"/>
        </w:r>
        <w:r w:rsidR="00762D61" w:rsidRPr="001A0E92">
          <w:rPr>
            <w:noProof/>
          </w:rPr>
          <w:instrText xml:space="preserve"> PAGEREF _Toc145895371 \h </w:instrText>
        </w:r>
        <w:r w:rsidR="00762D61" w:rsidRPr="001A0E92">
          <w:rPr>
            <w:noProof/>
          </w:rPr>
        </w:r>
        <w:r w:rsidR="00762D61" w:rsidRPr="001A0E92">
          <w:rPr>
            <w:noProof/>
          </w:rPr>
          <w:fldChar w:fldCharType="separate"/>
        </w:r>
        <w:r w:rsidR="009612A7">
          <w:rPr>
            <w:noProof/>
          </w:rPr>
          <w:t>3</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2" w:history="1">
        <w:r w:rsidR="00762D61" w:rsidRPr="001A0E92">
          <w:rPr>
            <w:rStyle w:val="ad"/>
            <w:rFonts w:hint="eastAsia"/>
            <w:noProof/>
            <w:color w:val="auto"/>
          </w:rPr>
          <w:t>第參章　外商在當地經營現況及投資機會</w:t>
        </w:r>
        <w:r w:rsidR="00762D61" w:rsidRPr="001A0E92">
          <w:rPr>
            <w:noProof/>
          </w:rPr>
          <w:tab/>
        </w:r>
        <w:r w:rsidR="00762D61" w:rsidRPr="001A0E92">
          <w:rPr>
            <w:noProof/>
          </w:rPr>
          <w:fldChar w:fldCharType="begin"/>
        </w:r>
        <w:r w:rsidR="00762D61" w:rsidRPr="001A0E92">
          <w:rPr>
            <w:noProof/>
          </w:rPr>
          <w:instrText xml:space="preserve"> PAGEREF _Toc145895372 \h </w:instrText>
        </w:r>
        <w:r w:rsidR="00762D61" w:rsidRPr="001A0E92">
          <w:rPr>
            <w:noProof/>
          </w:rPr>
        </w:r>
        <w:r w:rsidR="00762D61" w:rsidRPr="001A0E92">
          <w:rPr>
            <w:noProof/>
          </w:rPr>
          <w:fldChar w:fldCharType="separate"/>
        </w:r>
        <w:r w:rsidR="009612A7">
          <w:rPr>
            <w:noProof/>
          </w:rPr>
          <w:t>27</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3" w:history="1">
        <w:r w:rsidR="00762D61" w:rsidRPr="001A0E92">
          <w:rPr>
            <w:rStyle w:val="ad"/>
            <w:rFonts w:hint="eastAsia"/>
            <w:noProof/>
            <w:color w:val="auto"/>
          </w:rPr>
          <w:t>第肆章</w:t>
        </w:r>
        <w:r w:rsidR="00762D61" w:rsidRPr="001A0E92">
          <w:rPr>
            <w:rStyle w:val="ad"/>
            <w:noProof/>
            <w:color w:val="auto"/>
          </w:rPr>
          <w:t xml:space="preserve">  </w:t>
        </w:r>
        <w:r w:rsidR="00762D61" w:rsidRPr="001A0E92">
          <w:rPr>
            <w:rStyle w:val="ad"/>
            <w:rFonts w:hint="eastAsia"/>
            <w:noProof/>
            <w:color w:val="auto"/>
          </w:rPr>
          <w:t>投資法規及程序</w:t>
        </w:r>
        <w:r w:rsidR="00762D61" w:rsidRPr="001A0E92">
          <w:rPr>
            <w:noProof/>
          </w:rPr>
          <w:tab/>
        </w:r>
        <w:r w:rsidR="00762D61" w:rsidRPr="001A0E92">
          <w:rPr>
            <w:noProof/>
          </w:rPr>
          <w:fldChar w:fldCharType="begin"/>
        </w:r>
        <w:r w:rsidR="00762D61" w:rsidRPr="001A0E92">
          <w:rPr>
            <w:noProof/>
          </w:rPr>
          <w:instrText xml:space="preserve"> PAGEREF _Toc145895373 \h </w:instrText>
        </w:r>
        <w:r w:rsidR="00762D61" w:rsidRPr="001A0E92">
          <w:rPr>
            <w:noProof/>
          </w:rPr>
        </w:r>
        <w:r w:rsidR="00762D61" w:rsidRPr="001A0E92">
          <w:rPr>
            <w:noProof/>
          </w:rPr>
          <w:fldChar w:fldCharType="separate"/>
        </w:r>
        <w:r w:rsidR="009612A7">
          <w:rPr>
            <w:noProof/>
          </w:rPr>
          <w:t>35</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4" w:history="1">
        <w:r w:rsidR="00762D61" w:rsidRPr="001A0E92">
          <w:rPr>
            <w:rStyle w:val="ad"/>
            <w:rFonts w:hint="eastAsia"/>
            <w:noProof/>
            <w:color w:val="auto"/>
          </w:rPr>
          <w:t>第伍章</w:t>
        </w:r>
        <w:r w:rsidR="00762D61" w:rsidRPr="001A0E92">
          <w:rPr>
            <w:rStyle w:val="ad"/>
            <w:noProof/>
            <w:color w:val="auto"/>
          </w:rPr>
          <w:t xml:space="preserve">  </w:t>
        </w:r>
        <w:r w:rsidR="00762D61" w:rsidRPr="001A0E92">
          <w:rPr>
            <w:rStyle w:val="ad"/>
            <w:rFonts w:hint="eastAsia"/>
            <w:noProof/>
            <w:color w:val="auto"/>
          </w:rPr>
          <w:t>租稅及金融制度</w:t>
        </w:r>
        <w:r w:rsidR="00762D61" w:rsidRPr="001A0E92">
          <w:rPr>
            <w:noProof/>
          </w:rPr>
          <w:tab/>
        </w:r>
        <w:r w:rsidR="00762D61" w:rsidRPr="001A0E92">
          <w:rPr>
            <w:noProof/>
          </w:rPr>
          <w:fldChar w:fldCharType="begin"/>
        </w:r>
        <w:r w:rsidR="00762D61" w:rsidRPr="001A0E92">
          <w:rPr>
            <w:noProof/>
          </w:rPr>
          <w:instrText xml:space="preserve"> PAGEREF _Toc145895374 \h </w:instrText>
        </w:r>
        <w:r w:rsidR="00762D61" w:rsidRPr="001A0E92">
          <w:rPr>
            <w:noProof/>
          </w:rPr>
        </w:r>
        <w:r w:rsidR="00762D61" w:rsidRPr="001A0E92">
          <w:rPr>
            <w:noProof/>
          </w:rPr>
          <w:fldChar w:fldCharType="separate"/>
        </w:r>
        <w:r w:rsidR="009612A7">
          <w:rPr>
            <w:noProof/>
          </w:rPr>
          <w:t>41</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5" w:history="1">
        <w:r w:rsidR="00762D61" w:rsidRPr="001A0E92">
          <w:rPr>
            <w:rStyle w:val="ad"/>
            <w:rFonts w:hint="eastAsia"/>
            <w:noProof/>
            <w:color w:val="auto"/>
          </w:rPr>
          <w:t>第陸章</w:t>
        </w:r>
        <w:r w:rsidR="00762D61" w:rsidRPr="001A0E92">
          <w:rPr>
            <w:rStyle w:val="ad"/>
            <w:noProof/>
            <w:color w:val="auto"/>
          </w:rPr>
          <w:t xml:space="preserve">  </w:t>
        </w:r>
        <w:r w:rsidR="00762D61" w:rsidRPr="001A0E92">
          <w:rPr>
            <w:rStyle w:val="ad"/>
            <w:rFonts w:hint="eastAsia"/>
            <w:noProof/>
            <w:color w:val="auto"/>
          </w:rPr>
          <w:t>基礎建設及成本</w:t>
        </w:r>
        <w:r w:rsidR="00762D61" w:rsidRPr="001A0E92">
          <w:rPr>
            <w:noProof/>
          </w:rPr>
          <w:tab/>
        </w:r>
        <w:r w:rsidR="00762D61" w:rsidRPr="001A0E92">
          <w:rPr>
            <w:noProof/>
          </w:rPr>
          <w:fldChar w:fldCharType="begin"/>
        </w:r>
        <w:r w:rsidR="00762D61" w:rsidRPr="001A0E92">
          <w:rPr>
            <w:noProof/>
          </w:rPr>
          <w:instrText xml:space="preserve"> PAGEREF _Toc145895375 \h </w:instrText>
        </w:r>
        <w:r w:rsidR="00762D61" w:rsidRPr="001A0E92">
          <w:rPr>
            <w:noProof/>
          </w:rPr>
        </w:r>
        <w:r w:rsidR="00762D61" w:rsidRPr="001A0E92">
          <w:rPr>
            <w:noProof/>
          </w:rPr>
          <w:fldChar w:fldCharType="separate"/>
        </w:r>
        <w:r w:rsidR="009612A7">
          <w:rPr>
            <w:noProof/>
          </w:rPr>
          <w:t>47</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6" w:history="1">
        <w:r w:rsidR="00762D61" w:rsidRPr="001A0E92">
          <w:rPr>
            <w:rStyle w:val="ad"/>
            <w:rFonts w:hint="eastAsia"/>
            <w:noProof/>
            <w:color w:val="auto"/>
          </w:rPr>
          <w:t>第柒章</w:t>
        </w:r>
        <w:r w:rsidR="00762D61" w:rsidRPr="001A0E92">
          <w:rPr>
            <w:rStyle w:val="ad"/>
            <w:noProof/>
            <w:color w:val="auto"/>
          </w:rPr>
          <w:t xml:space="preserve">  </w:t>
        </w:r>
        <w:r w:rsidR="00762D61" w:rsidRPr="001A0E92">
          <w:rPr>
            <w:rStyle w:val="ad"/>
            <w:rFonts w:hint="eastAsia"/>
            <w:noProof/>
            <w:color w:val="auto"/>
          </w:rPr>
          <w:t>勞工</w:t>
        </w:r>
        <w:r w:rsidR="00762D61" w:rsidRPr="001A0E92">
          <w:rPr>
            <w:noProof/>
          </w:rPr>
          <w:tab/>
        </w:r>
        <w:r w:rsidR="00762D61" w:rsidRPr="001A0E92">
          <w:rPr>
            <w:noProof/>
          </w:rPr>
          <w:fldChar w:fldCharType="begin"/>
        </w:r>
        <w:r w:rsidR="00762D61" w:rsidRPr="001A0E92">
          <w:rPr>
            <w:noProof/>
          </w:rPr>
          <w:instrText xml:space="preserve"> PAGEREF _Toc145895376 \h </w:instrText>
        </w:r>
        <w:r w:rsidR="00762D61" w:rsidRPr="001A0E92">
          <w:rPr>
            <w:noProof/>
          </w:rPr>
        </w:r>
        <w:r w:rsidR="00762D61" w:rsidRPr="001A0E92">
          <w:rPr>
            <w:noProof/>
          </w:rPr>
          <w:fldChar w:fldCharType="separate"/>
        </w:r>
        <w:r w:rsidR="009612A7">
          <w:rPr>
            <w:noProof/>
          </w:rPr>
          <w:t>55</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7" w:history="1">
        <w:r w:rsidR="00762D61" w:rsidRPr="001A0E92">
          <w:rPr>
            <w:rStyle w:val="ad"/>
            <w:rFonts w:hint="eastAsia"/>
            <w:noProof/>
            <w:color w:val="auto"/>
          </w:rPr>
          <w:t>第捌章</w:t>
        </w:r>
        <w:r w:rsidR="00762D61" w:rsidRPr="001A0E92">
          <w:rPr>
            <w:rStyle w:val="ad"/>
            <w:noProof/>
            <w:color w:val="auto"/>
          </w:rPr>
          <w:t xml:space="preserve">  </w:t>
        </w:r>
        <w:r w:rsidR="00762D61" w:rsidRPr="001A0E92">
          <w:rPr>
            <w:rStyle w:val="ad"/>
            <w:rFonts w:hint="eastAsia"/>
            <w:noProof/>
            <w:color w:val="auto"/>
          </w:rPr>
          <w:t>簽證、居留及移民</w:t>
        </w:r>
        <w:r w:rsidR="00762D61" w:rsidRPr="001A0E92">
          <w:rPr>
            <w:noProof/>
          </w:rPr>
          <w:tab/>
        </w:r>
        <w:r w:rsidR="00762D61" w:rsidRPr="001A0E92">
          <w:rPr>
            <w:noProof/>
          </w:rPr>
          <w:fldChar w:fldCharType="begin"/>
        </w:r>
        <w:r w:rsidR="00762D61" w:rsidRPr="001A0E92">
          <w:rPr>
            <w:noProof/>
          </w:rPr>
          <w:instrText xml:space="preserve"> PAGEREF _Toc145895377 \h </w:instrText>
        </w:r>
        <w:r w:rsidR="00762D61" w:rsidRPr="001A0E92">
          <w:rPr>
            <w:noProof/>
          </w:rPr>
        </w:r>
        <w:r w:rsidR="00762D61" w:rsidRPr="001A0E92">
          <w:rPr>
            <w:noProof/>
          </w:rPr>
          <w:fldChar w:fldCharType="separate"/>
        </w:r>
        <w:r w:rsidR="009612A7">
          <w:rPr>
            <w:noProof/>
          </w:rPr>
          <w:t>59</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8" w:history="1">
        <w:r w:rsidR="00762D61" w:rsidRPr="001A0E92">
          <w:rPr>
            <w:rStyle w:val="ad"/>
            <w:rFonts w:hint="eastAsia"/>
            <w:noProof/>
            <w:color w:val="auto"/>
          </w:rPr>
          <w:t>第玖章</w:t>
        </w:r>
        <w:r w:rsidR="00762D61" w:rsidRPr="001A0E92">
          <w:rPr>
            <w:rStyle w:val="ad"/>
            <w:noProof/>
            <w:color w:val="auto"/>
          </w:rPr>
          <w:t xml:space="preserve">  </w:t>
        </w:r>
        <w:r w:rsidR="00762D61" w:rsidRPr="001A0E92">
          <w:rPr>
            <w:rStyle w:val="ad"/>
            <w:rFonts w:hint="eastAsia"/>
            <w:noProof/>
            <w:color w:val="auto"/>
          </w:rPr>
          <w:t>結論</w:t>
        </w:r>
        <w:r w:rsidR="00762D61" w:rsidRPr="001A0E92">
          <w:rPr>
            <w:noProof/>
          </w:rPr>
          <w:tab/>
        </w:r>
        <w:r w:rsidR="00762D61" w:rsidRPr="001A0E92">
          <w:rPr>
            <w:noProof/>
          </w:rPr>
          <w:fldChar w:fldCharType="begin"/>
        </w:r>
        <w:r w:rsidR="00762D61" w:rsidRPr="001A0E92">
          <w:rPr>
            <w:noProof/>
          </w:rPr>
          <w:instrText xml:space="preserve"> PAGEREF _Toc145895378 \h </w:instrText>
        </w:r>
        <w:r w:rsidR="00762D61" w:rsidRPr="001A0E92">
          <w:rPr>
            <w:noProof/>
          </w:rPr>
        </w:r>
        <w:r w:rsidR="00762D61" w:rsidRPr="001A0E92">
          <w:rPr>
            <w:noProof/>
          </w:rPr>
          <w:fldChar w:fldCharType="separate"/>
        </w:r>
        <w:r w:rsidR="009612A7">
          <w:rPr>
            <w:noProof/>
          </w:rPr>
          <w:t>63</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79" w:history="1">
        <w:r w:rsidR="00762D61" w:rsidRPr="001A0E92">
          <w:rPr>
            <w:rStyle w:val="ad"/>
            <w:rFonts w:hint="eastAsia"/>
            <w:noProof/>
            <w:color w:val="auto"/>
          </w:rPr>
          <w:t>附錄一　我國在當地駐外單位及臺（華）商團體</w:t>
        </w:r>
        <w:r w:rsidR="00762D61" w:rsidRPr="001A0E92">
          <w:rPr>
            <w:noProof/>
          </w:rPr>
          <w:tab/>
        </w:r>
        <w:r w:rsidR="00762D61" w:rsidRPr="001A0E92">
          <w:rPr>
            <w:noProof/>
          </w:rPr>
          <w:fldChar w:fldCharType="begin"/>
        </w:r>
        <w:r w:rsidR="00762D61" w:rsidRPr="001A0E92">
          <w:rPr>
            <w:noProof/>
          </w:rPr>
          <w:instrText xml:space="preserve"> PAGEREF _Toc145895379 \h </w:instrText>
        </w:r>
        <w:r w:rsidR="00762D61" w:rsidRPr="001A0E92">
          <w:rPr>
            <w:noProof/>
          </w:rPr>
        </w:r>
        <w:r w:rsidR="00762D61" w:rsidRPr="001A0E92">
          <w:rPr>
            <w:noProof/>
          </w:rPr>
          <w:fldChar w:fldCharType="separate"/>
        </w:r>
        <w:r w:rsidR="009612A7">
          <w:rPr>
            <w:noProof/>
          </w:rPr>
          <w:t>65</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80" w:history="1">
        <w:r w:rsidR="00762D61" w:rsidRPr="001A0E92">
          <w:rPr>
            <w:rStyle w:val="ad"/>
            <w:rFonts w:hint="eastAsia"/>
            <w:noProof/>
            <w:color w:val="auto"/>
          </w:rPr>
          <w:t>附錄二　當地重要投資相關機構</w:t>
        </w:r>
        <w:r w:rsidR="00762D61" w:rsidRPr="001A0E92">
          <w:rPr>
            <w:noProof/>
          </w:rPr>
          <w:tab/>
        </w:r>
        <w:r w:rsidR="00762D61" w:rsidRPr="001A0E92">
          <w:rPr>
            <w:noProof/>
          </w:rPr>
          <w:fldChar w:fldCharType="begin"/>
        </w:r>
        <w:r w:rsidR="00762D61" w:rsidRPr="001A0E92">
          <w:rPr>
            <w:noProof/>
          </w:rPr>
          <w:instrText xml:space="preserve"> PAGEREF _Toc145895380 \h </w:instrText>
        </w:r>
        <w:r w:rsidR="00762D61" w:rsidRPr="001A0E92">
          <w:rPr>
            <w:noProof/>
          </w:rPr>
        </w:r>
        <w:r w:rsidR="00762D61" w:rsidRPr="001A0E92">
          <w:rPr>
            <w:noProof/>
          </w:rPr>
          <w:fldChar w:fldCharType="separate"/>
        </w:r>
        <w:r w:rsidR="009612A7">
          <w:rPr>
            <w:noProof/>
          </w:rPr>
          <w:t>66</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81" w:history="1">
        <w:r w:rsidR="00762D61" w:rsidRPr="001A0E92">
          <w:rPr>
            <w:rStyle w:val="ad"/>
            <w:rFonts w:hint="eastAsia"/>
            <w:noProof/>
            <w:color w:val="auto"/>
          </w:rPr>
          <w:t>附錄三　當地外人投資統計</w:t>
        </w:r>
        <w:r w:rsidR="00762D61" w:rsidRPr="001A0E92">
          <w:rPr>
            <w:noProof/>
          </w:rPr>
          <w:tab/>
        </w:r>
        <w:r w:rsidR="00762D61" w:rsidRPr="001A0E92">
          <w:rPr>
            <w:noProof/>
          </w:rPr>
          <w:fldChar w:fldCharType="begin"/>
        </w:r>
        <w:r w:rsidR="00762D61" w:rsidRPr="001A0E92">
          <w:rPr>
            <w:noProof/>
          </w:rPr>
          <w:instrText xml:space="preserve"> PAGEREF _Toc145895381 \h </w:instrText>
        </w:r>
        <w:r w:rsidR="00762D61" w:rsidRPr="001A0E92">
          <w:rPr>
            <w:noProof/>
          </w:rPr>
        </w:r>
        <w:r w:rsidR="00762D61" w:rsidRPr="001A0E92">
          <w:rPr>
            <w:noProof/>
          </w:rPr>
          <w:fldChar w:fldCharType="separate"/>
        </w:r>
        <w:r w:rsidR="009612A7">
          <w:rPr>
            <w:noProof/>
          </w:rPr>
          <w:t>67</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82" w:history="1">
        <w:r w:rsidR="00762D61" w:rsidRPr="001A0E92">
          <w:rPr>
            <w:rStyle w:val="ad"/>
            <w:rFonts w:hint="eastAsia"/>
            <w:noProof/>
            <w:color w:val="auto"/>
          </w:rPr>
          <w:t>附錄四　我國廠商對當地國投資統計</w:t>
        </w:r>
        <w:r w:rsidR="00762D61" w:rsidRPr="001A0E92">
          <w:rPr>
            <w:noProof/>
          </w:rPr>
          <w:tab/>
        </w:r>
        <w:r w:rsidR="00762D61" w:rsidRPr="001A0E92">
          <w:rPr>
            <w:noProof/>
          </w:rPr>
          <w:fldChar w:fldCharType="begin"/>
        </w:r>
        <w:r w:rsidR="00762D61" w:rsidRPr="001A0E92">
          <w:rPr>
            <w:noProof/>
          </w:rPr>
          <w:instrText xml:space="preserve"> PAGEREF _Toc145895382 \h </w:instrText>
        </w:r>
        <w:r w:rsidR="00762D61" w:rsidRPr="001A0E92">
          <w:rPr>
            <w:noProof/>
          </w:rPr>
        </w:r>
        <w:r w:rsidR="00762D61" w:rsidRPr="001A0E92">
          <w:rPr>
            <w:noProof/>
          </w:rPr>
          <w:fldChar w:fldCharType="separate"/>
        </w:r>
        <w:r w:rsidR="009612A7">
          <w:rPr>
            <w:noProof/>
          </w:rPr>
          <w:t>68</w:t>
        </w:r>
        <w:r w:rsidR="00762D61" w:rsidRPr="001A0E92">
          <w:rPr>
            <w:noProof/>
          </w:rPr>
          <w:fldChar w:fldCharType="end"/>
        </w:r>
      </w:hyperlink>
    </w:p>
    <w:p w:rsidR="00762D61" w:rsidRPr="001A0E92" w:rsidRDefault="00542157">
      <w:pPr>
        <w:pStyle w:val="11"/>
        <w:rPr>
          <w:rFonts w:asciiTheme="minorHAnsi" w:eastAsiaTheme="minorEastAsia" w:hAnsiTheme="minorHAnsi" w:cstheme="minorBidi"/>
          <w:noProof/>
          <w:kern w:val="2"/>
          <w:szCs w:val="22"/>
          <w:lang w:val="en-US"/>
        </w:rPr>
      </w:pPr>
      <w:hyperlink w:anchor="_Toc145895383" w:history="1">
        <w:r w:rsidR="00762D61" w:rsidRPr="001A0E92">
          <w:rPr>
            <w:rStyle w:val="ad"/>
            <w:rFonts w:hint="eastAsia"/>
            <w:noProof/>
            <w:color w:val="auto"/>
          </w:rPr>
          <w:t>附錄五　其他重要資料</w:t>
        </w:r>
        <w:r w:rsidR="00762D61" w:rsidRPr="001A0E92">
          <w:rPr>
            <w:noProof/>
          </w:rPr>
          <w:tab/>
        </w:r>
        <w:r w:rsidR="00762D61" w:rsidRPr="001A0E92">
          <w:rPr>
            <w:noProof/>
          </w:rPr>
          <w:fldChar w:fldCharType="begin"/>
        </w:r>
        <w:r w:rsidR="00762D61" w:rsidRPr="001A0E92">
          <w:rPr>
            <w:noProof/>
          </w:rPr>
          <w:instrText xml:space="preserve"> PAGEREF _Toc145895383 \h </w:instrText>
        </w:r>
        <w:r w:rsidR="00762D61" w:rsidRPr="001A0E92">
          <w:rPr>
            <w:noProof/>
          </w:rPr>
        </w:r>
        <w:r w:rsidR="00762D61" w:rsidRPr="001A0E92">
          <w:rPr>
            <w:noProof/>
          </w:rPr>
          <w:fldChar w:fldCharType="separate"/>
        </w:r>
        <w:r w:rsidR="009612A7">
          <w:rPr>
            <w:noProof/>
          </w:rPr>
          <w:t>70</w:t>
        </w:r>
        <w:r w:rsidR="00762D61" w:rsidRPr="001A0E92">
          <w:rPr>
            <w:noProof/>
          </w:rPr>
          <w:fldChar w:fldCharType="end"/>
        </w:r>
      </w:hyperlink>
    </w:p>
    <w:p w:rsidR="0032277D" w:rsidRPr="001A0E92" w:rsidRDefault="0032277D" w:rsidP="00933D73">
      <w:pPr>
        <w:pStyle w:val="11"/>
      </w:pPr>
      <w:r w:rsidRPr="001A0E92">
        <w:fldChar w:fldCharType="end"/>
      </w:r>
    </w:p>
    <w:p w:rsidR="0032277D" w:rsidRPr="001A0E92" w:rsidRDefault="0032277D" w:rsidP="006F3E9A">
      <w:pPr>
        <w:pStyle w:val="a0"/>
        <w:ind w:firstLine="472"/>
        <w:jc w:val="center"/>
      </w:pPr>
    </w:p>
    <w:p w:rsidR="0032277D" w:rsidRPr="001A0E92" w:rsidRDefault="0032277D" w:rsidP="000F0C19">
      <w:pPr>
        <w:pBdr>
          <w:top w:val="none" w:sz="0" w:space="0" w:color="auto"/>
          <w:left w:val="none" w:sz="0" w:space="0" w:color="auto"/>
          <w:bottom w:val="none" w:sz="0" w:space="0" w:color="auto"/>
          <w:right w:val="none" w:sz="0" w:space="0" w:color="auto"/>
        </w:pBdr>
        <w:jc w:val="center"/>
        <w:rPr>
          <w:rFonts w:eastAsia="華康超黑體"/>
          <w:kern w:val="2"/>
          <w:sz w:val="48"/>
          <w:szCs w:val="48"/>
        </w:rPr>
      </w:pPr>
      <w:r w:rsidRPr="001A0E92">
        <w:rPr>
          <w:rFonts w:eastAsia="華康超黑體"/>
          <w:kern w:val="2"/>
          <w:sz w:val="48"/>
          <w:szCs w:val="48"/>
        </w:rPr>
        <w:fldChar w:fldCharType="begin"/>
      </w:r>
      <w:r w:rsidRPr="001A0E92">
        <w:rPr>
          <w:rFonts w:eastAsia="華康超黑體"/>
          <w:kern w:val="2"/>
          <w:sz w:val="48"/>
          <w:szCs w:val="48"/>
        </w:rPr>
        <w:instrText xml:space="preserve"> TOC \o "1-3" \t "</w:instrText>
      </w:r>
      <w:r w:rsidRPr="001A0E92">
        <w:rPr>
          <w:rFonts w:eastAsia="華康超黑體"/>
          <w:kern w:val="2"/>
          <w:sz w:val="48"/>
          <w:szCs w:val="48"/>
        </w:rPr>
        <w:instrText>大標</w:instrText>
      </w:r>
      <w:r w:rsidRPr="001A0E92">
        <w:rPr>
          <w:rFonts w:eastAsia="華康超黑體"/>
          <w:kern w:val="2"/>
          <w:sz w:val="48"/>
          <w:szCs w:val="48"/>
        </w:rPr>
        <w:instrText>,1" \h</w:instrText>
      </w:r>
      <w:r w:rsidRPr="001A0E92">
        <w:rPr>
          <w:rFonts w:eastAsia="華康超黑體"/>
          <w:kern w:val="2"/>
          <w:sz w:val="48"/>
          <w:szCs w:val="48"/>
        </w:rPr>
        <w:fldChar w:fldCharType="separate"/>
      </w:r>
    </w:p>
    <w:p w:rsidR="00AB0636" w:rsidRPr="001A0E92" w:rsidRDefault="00AB0636">
      <w:pPr>
        <w:widowControl/>
        <w:pBdr>
          <w:top w:val="none" w:sz="0" w:space="0" w:color="auto"/>
          <w:left w:val="none" w:sz="0" w:space="0" w:color="auto"/>
          <w:bottom w:val="none" w:sz="0" w:space="0" w:color="auto"/>
          <w:right w:val="none" w:sz="0" w:space="0" w:color="auto"/>
        </w:pBdr>
        <w:overflowPunct/>
        <w:autoSpaceDE/>
        <w:autoSpaceDN/>
        <w:jc w:val="left"/>
      </w:pPr>
      <w:r w:rsidRPr="001A0E92">
        <w:br w:type="page"/>
      </w:r>
    </w:p>
    <w:p w:rsidR="0032277D" w:rsidRPr="001A0E92" w:rsidRDefault="000F0C19" w:rsidP="009E009F">
      <w:pPr>
        <w:pStyle w:val="28-"/>
      </w:pPr>
      <w:r w:rsidRPr="001A0E92">
        <w:br w:type="page"/>
      </w:r>
      <w:r w:rsidR="0032277D" w:rsidRPr="001A0E92">
        <w:t>斯洛伐克基本資料表</w:t>
      </w:r>
      <w:r w:rsidR="0032277D" w:rsidRPr="001A0E92">
        <w:fldChar w:fldCharType="end"/>
      </w:r>
    </w:p>
    <w:tbl>
      <w:tblPr>
        <w:tblW w:w="0" w:type="auto"/>
        <w:tblInd w:w="-30" w:type="dxa"/>
        <w:tblBorders>
          <w:top w:val="single" w:sz="24" w:space="0" w:color="00000A"/>
          <w:left w:val="single" w:sz="24" w:space="0" w:color="00000A"/>
          <w:bottom w:val="single" w:sz="24" w:space="0" w:color="00000A"/>
          <w:right w:val="single" w:sz="24" w:space="0" w:color="00000A"/>
          <w:insideH w:val="single" w:sz="6" w:space="0" w:color="00000A"/>
          <w:insideV w:val="single" w:sz="6" w:space="0" w:color="00000A"/>
        </w:tblBorders>
        <w:tblLayout w:type="fixed"/>
        <w:tblCellMar>
          <w:left w:w="0" w:type="dxa"/>
          <w:right w:w="28" w:type="dxa"/>
        </w:tblCellMar>
        <w:tblLook w:val="0000" w:firstRow="0" w:lastRow="0" w:firstColumn="0" w:lastColumn="0" w:noHBand="0" w:noVBand="0"/>
      </w:tblPr>
      <w:tblGrid>
        <w:gridCol w:w="2508"/>
        <w:gridCol w:w="6056"/>
      </w:tblGrid>
      <w:tr w:rsidR="001A0E92" w:rsidRPr="001A0E92" w:rsidTr="000F0C19">
        <w:trPr>
          <w:trHeight w:val="737"/>
        </w:trPr>
        <w:tc>
          <w:tcPr>
            <w:tcW w:w="8564" w:type="dxa"/>
            <w:gridSpan w:val="2"/>
            <w:shd w:val="clear" w:color="auto" w:fill="auto"/>
            <w:vAlign w:val="center"/>
          </w:tcPr>
          <w:p w:rsidR="0032277D" w:rsidRPr="001A0E92" w:rsidRDefault="0032277D" w:rsidP="009E009F">
            <w:pPr>
              <w:pStyle w:val="a0"/>
              <w:ind w:firstLineChars="0" w:firstLine="0"/>
              <w:jc w:val="center"/>
            </w:pPr>
            <w:r w:rsidRPr="001A0E92">
              <w:rPr>
                <w:rFonts w:eastAsia="華康粗黑體"/>
                <w:sz w:val="32"/>
                <w:szCs w:val="32"/>
              </w:rPr>
              <w:t>自</w:t>
            </w:r>
            <w:r w:rsidRPr="001A0E92">
              <w:rPr>
                <w:rFonts w:eastAsia="華康粗黑體"/>
                <w:sz w:val="32"/>
                <w:szCs w:val="32"/>
              </w:rPr>
              <w:t xml:space="preserve">  </w:t>
            </w:r>
            <w:r w:rsidRPr="001A0E92">
              <w:rPr>
                <w:rFonts w:eastAsia="華康粗黑體"/>
                <w:sz w:val="32"/>
                <w:szCs w:val="32"/>
              </w:rPr>
              <w:t>然</w:t>
            </w:r>
            <w:r w:rsidRPr="001A0E92">
              <w:rPr>
                <w:rFonts w:eastAsia="華康粗黑體"/>
                <w:sz w:val="32"/>
                <w:szCs w:val="32"/>
              </w:rPr>
              <w:t xml:space="preserve"> </w:t>
            </w:r>
            <w:r w:rsidRPr="001A0E92">
              <w:rPr>
                <w:rFonts w:eastAsia="華康粗黑體"/>
                <w:sz w:val="32"/>
                <w:szCs w:val="32"/>
              </w:rPr>
              <w:t>人</w:t>
            </w:r>
            <w:r w:rsidRPr="001A0E92">
              <w:rPr>
                <w:rFonts w:eastAsia="華康粗黑體"/>
                <w:sz w:val="32"/>
                <w:szCs w:val="32"/>
              </w:rPr>
              <w:t xml:space="preserve">  </w:t>
            </w:r>
            <w:r w:rsidRPr="001A0E92">
              <w:rPr>
                <w:rFonts w:eastAsia="華康粗黑體"/>
                <w:sz w:val="32"/>
                <w:szCs w:val="32"/>
              </w:rPr>
              <w:t>文</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地理環境</w:t>
            </w:r>
          </w:p>
        </w:tc>
        <w:tc>
          <w:tcPr>
            <w:tcW w:w="6056" w:type="dxa"/>
            <w:shd w:val="clear" w:color="auto" w:fill="auto"/>
            <w:vAlign w:val="center"/>
          </w:tcPr>
          <w:p w:rsidR="00950597" w:rsidRPr="001A0E92" w:rsidRDefault="00950597" w:rsidP="00950597">
            <w:pPr>
              <w:pStyle w:val="a0"/>
              <w:ind w:left="118" w:right="118" w:firstLineChars="0" w:firstLine="0"/>
            </w:pPr>
            <w:r w:rsidRPr="001A0E92">
              <w:t>中東歐內陸國，西鄰奧地利，北與捷克及波蘭接壤，東鄰烏克蘭，南接匈牙利。多瑙河流經其西南部，境內多山，地勢北高南低。</w:t>
            </w:r>
            <w:r w:rsidRPr="001A0E92">
              <w:t xml:space="preserve"> </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國土面積</w:t>
            </w:r>
          </w:p>
        </w:tc>
        <w:tc>
          <w:tcPr>
            <w:tcW w:w="6056" w:type="dxa"/>
            <w:shd w:val="clear" w:color="auto" w:fill="auto"/>
            <w:vAlign w:val="center"/>
          </w:tcPr>
          <w:p w:rsidR="00950597" w:rsidRPr="001A0E92" w:rsidRDefault="00950597" w:rsidP="00950597">
            <w:pPr>
              <w:pStyle w:val="a0"/>
              <w:ind w:left="118" w:right="118" w:firstLineChars="0" w:firstLine="0"/>
            </w:pPr>
            <w:r w:rsidRPr="001A0E92">
              <w:t>49,036</w:t>
            </w:r>
            <w:r w:rsidRPr="001A0E92">
              <w:t>平方公里</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氣候</w:t>
            </w:r>
          </w:p>
        </w:tc>
        <w:tc>
          <w:tcPr>
            <w:tcW w:w="6056" w:type="dxa"/>
            <w:shd w:val="clear" w:color="auto" w:fill="auto"/>
            <w:vAlign w:val="center"/>
          </w:tcPr>
          <w:p w:rsidR="00950597" w:rsidRPr="001A0E92" w:rsidRDefault="00950597" w:rsidP="00950597">
            <w:pPr>
              <w:pStyle w:val="a0"/>
              <w:ind w:left="118" w:right="118" w:firstLineChars="0" w:firstLine="0"/>
            </w:pPr>
            <w:r w:rsidRPr="001A0E92">
              <w:t>大陸型氣候。以首都</w:t>
            </w:r>
            <w:r w:rsidRPr="001A0E92">
              <w:t>Bratislava</w:t>
            </w:r>
            <w:r w:rsidRPr="001A0E92">
              <w:t>而言，夏季溫和，冬季低溫可至零下</w:t>
            </w:r>
            <w:r w:rsidRPr="001A0E92">
              <w:t>3</w:t>
            </w:r>
            <w:r w:rsidRPr="001A0E92">
              <w:t>度左右。</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種族</w:t>
            </w:r>
          </w:p>
        </w:tc>
        <w:tc>
          <w:tcPr>
            <w:tcW w:w="6056" w:type="dxa"/>
            <w:shd w:val="clear" w:color="auto" w:fill="auto"/>
            <w:vAlign w:val="center"/>
          </w:tcPr>
          <w:p w:rsidR="00950597" w:rsidRPr="001A0E92" w:rsidRDefault="00950597" w:rsidP="00950597">
            <w:pPr>
              <w:pStyle w:val="a0"/>
              <w:ind w:left="118" w:right="118" w:firstLineChars="0" w:firstLine="0"/>
            </w:pPr>
            <w:r w:rsidRPr="001A0E92">
              <w:t>斯洛伐克人占</w:t>
            </w:r>
            <w:r w:rsidRPr="001A0E92">
              <w:t>80.65%</w:t>
            </w:r>
            <w:r w:rsidRPr="001A0E92">
              <w:t>，匈牙利人占</w:t>
            </w:r>
            <w:r w:rsidRPr="001A0E92">
              <w:t>8.49%</w:t>
            </w:r>
            <w:r w:rsidRPr="001A0E92">
              <w:t>，吉普賽人占</w:t>
            </w:r>
            <w:r w:rsidRPr="001A0E92">
              <w:t>1.96%</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人口結構</w:t>
            </w:r>
          </w:p>
        </w:tc>
        <w:tc>
          <w:tcPr>
            <w:tcW w:w="6056" w:type="dxa"/>
            <w:shd w:val="clear" w:color="auto" w:fill="auto"/>
            <w:vAlign w:val="center"/>
          </w:tcPr>
          <w:p w:rsidR="00950597" w:rsidRPr="001A0E92" w:rsidRDefault="00950597" w:rsidP="00950597">
            <w:pPr>
              <w:pStyle w:val="a0"/>
              <w:ind w:left="118" w:right="118" w:firstLineChars="0" w:firstLine="0"/>
            </w:pPr>
            <w:r w:rsidRPr="001A0E92">
              <w:t>全國人口</w:t>
            </w:r>
            <w:r w:rsidRPr="001A0E92">
              <w:t>5</w:t>
            </w:r>
            <w:r w:rsidR="00FF29F0" w:rsidRPr="001A0E92">
              <w:rPr>
                <w:rFonts w:hint="eastAsia"/>
              </w:rPr>
              <w:t>46</w:t>
            </w:r>
            <w:r w:rsidRPr="001A0E92">
              <w:t>萬人（</w:t>
            </w:r>
            <w:r w:rsidRPr="001A0E92">
              <w:t>2022</w:t>
            </w:r>
            <w:r w:rsidRPr="001A0E92">
              <w:t>），其中</w:t>
            </w:r>
            <w:r w:rsidRPr="001A0E92">
              <w:t>0</w:t>
            </w:r>
            <w:r w:rsidRPr="001A0E92">
              <w:t>至</w:t>
            </w:r>
            <w:r w:rsidRPr="001A0E92">
              <w:t>14</w:t>
            </w:r>
            <w:r w:rsidRPr="001A0E92">
              <w:t>歲幼年人口占</w:t>
            </w:r>
            <w:r w:rsidRPr="001A0E92">
              <w:t>15.5%</w:t>
            </w:r>
            <w:r w:rsidRPr="001A0E92">
              <w:t>，</w:t>
            </w:r>
            <w:r w:rsidRPr="001A0E92">
              <w:t>15</w:t>
            </w:r>
            <w:r w:rsidRPr="001A0E92">
              <w:t>至</w:t>
            </w:r>
            <w:r w:rsidRPr="001A0E92">
              <w:t>64</w:t>
            </w:r>
            <w:r w:rsidRPr="001A0E92">
              <w:t>歲人口占</w:t>
            </w:r>
            <w:r w:rsidRPr="001A0E92">
              <w:t>67.1%</w:t>
            </w:r>
            <w:r w:rsidRPr="001A0E92">
              <w:t>，</w:t>
            </w:r>
            <w:r w:rsidRPr="001A0E92">
              <w:t>65</w:t>
            </w:r>
            <w:r w:rsidRPr="001A0E92">
              <w:t>歲以上老年人口占</w:t>
            </w:r>
            <w:r w:rsidRPr="001A0E92">
              <w:t>17.4%</w:t>
            </w:r>
            <w:r w:rsidRPr="001A0E92">
              <w:t>，男女比率為</w:t>
            </w:r>
            <w:r w:rsidRPr="001A0E92">
              <w:t>49</w:t>
            </w:r>
            <w:r w:rsidRPr="001A0E92">
              <w:t>比</w:t>
            </w:r>
            <w:r w:rsidRPr="001A0E92">
              <w:t>51</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教育普及程度</w:t>
            </w:r>
          </w:p>
        </w:tc>
        <w:tc>
          <w:tcPr>
            <w:tcW w:w="6056" w:type="dxa"/>
            <w:shd w:val="clear" w:color="auto" w:fill="auto"/>
            <w:vAlign w:val="center"/>
          </w:tcPr>
          <w:p w:rsidR="00950597" w:rsidRPr="001A0E92" w:rsidRDefault="00950597" w:rsidP="00950597">
            <w:pPr>
              <w:pStyle w:val="a0"/>
              <w:ind w:left="118" w:right="118" w:firstLineChars="0" w:firstLine="0"/>
            </w:pPr>
            <w:r w:rsidRPr="001A0E92">
              <w:t>15</w:t>
            </w:r>
            <w:r w:rsidRPr="001A0E92">
              <w:t>歲以上具讀寫能力者占總人口之</w:t>
            </w:r>
            <w:r w:rsidRPr="001A0E92">
              <w:t>99.6%</w:t>
            </w:r>
            <w:r w:rsidRPr="001A0E92">
              <w:t>，教育普及。</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語言</w:t>
            </w:r>
          </w:p>
        </w:tc>
        <w:tc>
          <w:tcPr>
            <w:tcW w:w="6056" w:type="dxa"/>
            <w:shd w:val="clear" w:color="auto" w:fill="auto"/>
            <w:vAlign w:val="center"/>
          </w:tcPr>
          <w:p w:rsidR="00950597" w:rsidRPr="001A0E92" w:rsidRDefault="00950597" w:rsidP="00950597">
            <w:pPr>
              <w:pStyle w:val="a0"/>
              <w:ind w:left="118" w:right="118" w:firstLineChars="0" w:firstLine="0"/>
            </w:pPr>
            <w:r w:rsidRPr="001A0E92">
              <w:t>官方語言為斯洛伐克語，另有</w:t>
            </w:r>
            <w:r w:rsidRPr="001A0E92">
              <w:t>10.7%</w:t>
            </w:r>
            <w:r w:rsidRPr="001A0E92">
              <w:t>人口諳匈牙利語。德語、英語及俄語為主要使用之外語。</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宗教</w:t>
            </w:r>
          </w:p>
        </w:tc>
        <w:tc>
          <w:tcPr>
            <w:tcW w:w="6056" w:type="dxa"/>
            <w:shd w:val="clear" w:color="auto" w:fill="auto"/>
            <w:vAlign w:val="center"/>
          </w:tcPr>
          <w:p w:rsidR="00950597" w:rsidRPr="001A0E92" w:rsidRDefault="00950597" w:rsidP="00950597">
            <w:pPr>
              <w:pStyle w:val="a0"/>
              <w:ind w:left="118" w:right="118" w:firstLineChars="0" w:firstLine="0"/>
            </w:pPr>
            <w:r w:rsidRPr="001A0E92">
              <w:t>羅馬天主教徒占</w:t>
            </w:r>
            <w:r w:rsidRPr="001A0E92">
              <w:t>62.08%</w:t>
            </w:r>
            <w:r w:rsidRPr="001A0E92">
              <w:t>，基督教徒占</w:t>
            </w:r>
            <w:r w:rsidRPr="001A0E92">
              <w:t>5.86%</w:t>
            </w:r>
            <w:r w:rsidRPr="001A0E92">
              <w:t>，希臘正教徒則占</w:t>
            </w:r>
            <w:r w:rsidRPr="001A0E92">
              <w:t>3.83%</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首都及重要城市</w:t>
            </w:r>
          </w:p>
        </w:tc>
        <w:tc>
          <w:tcPr>
            <w:tcW w:w="6056" w:type="dxa"/>
            <w:shd w:val="clear" w:color="auto" w:fill="auto"/>
            <w:vAlign w:val="center"/>
          </w:tcPr>
          <w:p w:rsidR="00950597" w:rsidRPr="001A0E92" w:rsidRDefault="00950597" w:rsidP="00950597">
            <w:pPr>
              <w:pStyle w:val="a0"/>
              <w:ind w:left="118" w:right="118" w:firstLineChars="0" w:firstLine="0"/>
            </w:pPr>
            <w:r w:rsidRPr="001A0E92">
              <w:t>首府布拉提斯拉瓦（</w:t>
            </w:r>
            <w:r w:rsidRPr="001A0E92">
              <w:t>Bratislava</w:t>
            </w:r>
            <w:r w:rsidRPr="001A0E92">
              <w:t>）位於斯國西部，接近奧京維也納，為斯國第一大城（人口約</w:t>
            </w:r>
            <w:r w:rsidRPr="001A0E92">
              <w:t>43</w:t>
            </w:r>
            <w:r w:rsidRPr="001A0E92">
              <w:t>萬人），第二大城為斯東之</w:t>
            </w:r>
            <w:r w:rsidRPr="001A0E92">
              <w:t>Košice</w:t>
            </w:r>
            <w:r w:rsidRPr="001A0E92">
              <w:t>市（人口約</w:t>
            </w:r>
            <w:r w:rsidRPr="001A0E92">
              <w:t>24</w:t>
            </w:r>
            <w:r w:rsidRPr="001A0E92">
              <w:t>萬人）。</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政治體制</w:t>
            </w:r>
          </w:p>
        </w:tc>
        <w:tc>
          <w:tcPr>
            <w:tcW w:w="6056" w:type="dxa"/>
            <w:shd w:val="clear" w:color="auto" w:fill="auto"/>
            <w:vAlign w:val="center"/>
          </w:tcPr>
          <w:p w:rsidR="00950597" w:rsidRPr="001A0E92" w:rsidRDefault="00950597" w:rsidP="00950597">
            <w:pPr>
              <w:pStyle w:val="a0"/>
              <w:ind w:left="118" w:right="118" w:firstLineChars="0" w:firstLine="0"/>
            </w:pPr>
            <w:r w:rsidRPr="001A0E92">
              <w:t>議會民主政體，總統為國家元首（任期</w:t>
            </w:r>
            <w:r w:rsidRPr="001A0E92">
              <w:t>5</w:t>
            </w:r>
            <w:r w:rsidRPr="001A0E92">
              <w:t>年），總理為最高行政首長（由國會多數黨領袖擔任）。</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投資主管機關</w:t>
            </w:r>
          </w:p>
        </w:tc>
        <w:tc>
          <w:tcPr>
            <w:tcW w:w="6056" w:type="dxa"/>
            <w:shd w:val="clear" w:color="auto" w:fill="auto"/>
            <w:vAlign w:val="center"/>
          </w:tcPr>
          <w:p w:rsidR="00950597" w:rsidRPr="001A0E92" w:rsidRDefault="00950597" w:rsidP="00950597">
            <w:pPr>
              <w:pStyle w:val="a0"/>
              <w:ind w:left="118" w:right="118" w:firstLineChars="0" w:firstLine="0"/>
            </w:pPr>
            <w:r w:rsidRPr="001A0E92">
              <w:t>投資暨貿易發展局（</w:t>
            </w:r>
            <w:r w:rsidRPr="001A0E92">
              <w:t>Slovak Investment and Trade Development Agency, SARIO</w:t>
            </w:r>
            <w:r w:rsidRPr="001A0E92">
              <w:t>）</w:t>
            </w:r>
          </w:p>
        </w:tc>
      </w:tr>
      <w:tr w:rsidR="001A0E92" w:rsidRPr="001A0E92" w:rsidTr="000F0C19">
        <w:trPr>
          <w:trHeight w:val="737"/>
        </w:trPr>
        <w:tc>
          <w:tcPr>
            <w:tcW w:w="8564" w:type="dxa"/>
            <w:gridSpan w:val="2"/>
            <w:shd w:val="clear" w:color="auto" w:fill="auto"/>
            <w:vAlign w:val="center"/>
          </w:tcPr>
          <w:p w:rsidR="0032277D" w:rsidRPr="001A0E92" w:rsidRDefault="0032277D" w:rsidP="009E009F">
            <w:pPr>
              <w:pStyle w:val="a0"/>
              <w:ind w:firstLineChars="0" w:firstLine="0"/>
              <w:jc w:val="center"/>
            </w:pPr>
            <w:r w:rsidRPr="001A0E92">
              <w:rPr>
                <w:rFonts w:eastAsia="華康粗黑體"/>
                <w:sz w:val="32"/>
                <w:szCs w:val="32"/>
              </w:rPr>
              <w:t>經</w:t>
            </w:r>
            <w:r w:rsidRPr="001A0E92">
              <w:rPr>
                <w:rFonts w:eastAsia="華康粗黑體"/>
                <w:sz w:val="32"/>
                <w:szCs w:val="32"/>
              </w:rPr>
              <w:t xml:space="preserve">  </w:t>
            </w:r>
            <w:r w:rsidRPr="001A0E92">
              <w:rPr>
                <w:rFonts w:eastAsia="華康粗黑體"/>
                <w:sz w:val="32"/>
                <w:szCs w:val="32"/>
              </w:rPr>
              <w:t>濟</w:t>
            </w:r>
            <w:r w:rsidRPr="001A0E92">
              <w:rPr>
                <w:rFonts w:eastAsia="華康粗黑體"/>
                <w:sz w:val="32"/>
                <w:szCs w:val="32"/>
              </w:rPr>
              <w:t xml:space="preserve">  </w:t>
            </w:r>
            <w:r w:rsidRPr="001A0E92">
              <w:rPr>
                <w:rFonts w:eastAsia="華康粗黑體"/>
                <w:sz w:val="32"/>
                <w:szCs w:val="32"/>
              </w:rPr>
              <w:t>概</w:t>
            </w:r>
            <w:r w:rsidRPr="001A0E92">
              <w:rPr>
                <w:rFonts w:eastAsia="華康粗黑體"/>
                <w:sz w:val="32"/>
                <w:szCs w:val="32"/>
              </w:rPr>
              <w:t xml:space="preserve">  </w:t>
            </w:r>
            <w:proofErr w:type="gramStart"/>
            <w:r w:rsidRPr="001A0E92">
              <w:rPr>
                <w:rFonts w:eastAsia="華康粗黑體"/>
                <w:sz w:val="32"/>
                <w:szCs w:val="32"/>
              </w:rPr>
              <w:t>況</w:t>
            </w:r>
            <w:proofErr w:type="gramEnd"/>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幣制</w:t>
            </w:r>
          </w:p>
        </w:tc>
        <w:tc>
          <w:tcPr>
            <w:tcW w:w="6056" w:type="dxa"/>
            <w:shd w:val="clear" w:color="auto" w:fill="auto"/>
            <w:vAlign w:val="center"/>
          </w:tcPr>
          <w:p w:rsidR="00950597" w:rsidRPr="001A0E92" w:rsidRDefault="00950597" w:rsidP="00950597">
            <w:pPr>
              <w:pStyle w:val="a0"/>
              <w:ind w:left="118" w:right="118" w:firstLineChars="0" w:firstLine="0"/>
            </w:pPr>
            <w:r w:rsidRPr="001A0E92">
              <w:t>自</w:t>
            </w:r>
            <w:r w:rsidRPr="001A0E92">
              <w:t>2009</w:t>
            </w:r>
            <w:r w:rsidRPr="001A0E92">
              <w:t>年</w:t>
            </w:r>
            <w:r w:rsidRPr="001A0E92">
              <w:t>1</w:t>
            </w:r>
            <w:r w:rsidRPr="001A0E92">
              <w:t>月</w:t>
            </w:r>
            <w:r w:rsidRPr="001A0E92">
              <w:t>1</w:t>
            </w:r>
            <w:r w:rsidRPr="001A0E92">
              <w:t>日起正式改用歐元為單一貨幣。</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國內生產毛額</w:t>
            </w:r>
          </w:p>
        </w:tc>
        <w:tc>
          <w:tcPr>
            <w:tcW w:w="6056" w:type="dxa"/>
            <w:shd w:val="clear" w:color="auto" w:fill="auto"/>
            <w:vAlign w:val="center"/>
          </w:tcPr>
          <w:p w:rsidR="00950597" w:rsidRPr="001A0E92" w:rsidRDefault="00950597" w:rsidP="00950597">
            <w:pPr>
              <w:pStyle w:val="a0"/>
              <w:ind w:left="118" w:right="118" w:firstLineChars="0" w:firstLine="0"/>
            </w:pPr>
            <w:r w:rsidRPr="001A0E92">
              <w:t>1,077</w:t>
            </w:r>
            <w:r w:rsidRPr="001A0E92">
              <w:t>億歐元（</w:t>
            </w:r>
            <w:r w:rsidRPr="001A0E92">
              <w:t>2022</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經濟成長率</w:t>
            </w:r>
          </w:p>
        </w:tc>
        <w:tc>
          <w:tcPr>
            <w:tcW w:w="6056" w:type="dxa"/>
            <w:shd w:val="clear" w:color="auto" w:fill="auto"/>
            <w:vAlign w:val="center"/>
          </w:tcPr>
          <w:p w:rsidR="00950597" w:rsidRPr="001A0E92" w:rsidRDefault="00950597" w:rsidP="00950597">
            <w:pPr>
              <w:pStyle w:val="a0"/>
              <w:ind w:left="118" w:right="118" w:firstLineChars="0" w:firstLine="0"/>
            </w:pPr>
            <w:r w:rsidRPr="001A0E92">
              <w:t>1.7%</w:t>
            </w:r>
            <w:r w:rsidRPr="001A0E92">
              <w:t>（</w:t>
            </w:r>
            <w:r w:rsidRPr="001A0E92">
              <w:t>2022</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平均國民所得</w:t>
            </w:r>
          </w:p>
        </w:tc>
        <w:tc>
          <w:tcPr>
            <w:tcW w:w="6056" w:type="dxa"/>
            <w:shd w:val="clear" w:color="auto" w:fill="auto"/>
            <w:vAlign w:val="center"/>
          </w:tcPr>
          <w:p w:rsidR="00950597" w:rsidRPr="001A0E92" w:rsidRDefault="00950597" w:rsidP="00950597">
            <w:pPr>
              <w:pStyle w:val="a0"/>
              <w:ind w:left="118" w:right="118" w:firstLineChars="0" w:firstLine="0"/>
            </w:pPr>
            <w:r w:rsidRPr="001A0E92">
              <w:t>1</w:t>
            </w:r>
            <w:r w:rsidRPr="001A0E92">
              <w:t>萬</w:t>
            </w:r>
            <w:r w:rsidRPr="001A0E92">
              <w:t>9,839</w:t>
            </w:r>
            <w:r w:rsidRPr="001A0E92">
              <w:t>歐元（</w:t>
            </w:r>
            <w:r w:rsidRPr="001A0E92">
              <w:t>2022</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消費者物價指數</w:t>
            </w:r>
          </w:p>
        </w:tc>
        <w:tc>
          <w:tcPr>
            <w:tcW w:w="6056" w:type="dxa"/>
            <w:shd w:val="clear" w:color="auto" w:fill="auto"/>
            <w:vAlign w:val="center"/>
          </w:tcPr>
          <w:p w:rsidR="00950597" w:rsidRPr="001A0E92" w:rsidRDefault="00950597" w:rsidP="00950597">
            <w:pPr>
              <w:pStyle w:val="a0"/>
              <w:ind w:left="118" w:right="118" w:firstLineChars="0" w:firstLine="0"/>
            </w:pPr>
            <w:r w:rsidRPr="001A0E92">
              <w:t>12.8%</w:t>
            </w:r>
            <w:r w:rsidRPr="001A0E92">
              <w:t>（</w:t>
            </w:r>
            <w:r w:rsidRPr="001A0E92">
              <w:t>2022</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外匯存底</w:t>
            </w:r>
          </w:p>
        </w:tc>
        <w:tc>
          <w:tcPr>
            <w:tcW w:w="6056" w:type="dxa"/>
            <w:shd w:val="clear" w:color="auto" w:fill="auto"/>
            <w:vAlign w:val="center"/>
          </w:tcPr>
          <w:p w:rsidR="00950597" w:rsidRPr="001A0E92" w:rsidRDefault="00950597" w:rsidP="00950597">
            <w:pPr>
              <w:pStyle w:val="a0"/>
              <w:ind w:left="118" w:right="118" w:firstLineChars="0" w:firstLine="0"/>
            </w:pPr>
            <w:r w:rsidRPr="001A0E92">
              <w:t>94</w:t>
            </w:r>
            <w:r w:rsidRPr="001A0E92">
              <w:t>億歐元（</w:t>
            </w:r>
            <w:r w:rsidRPr="001A0E92">
              <w:t>2022</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950597" w:rsidP="009E009F">
            <w:pPr>
              <w:pStyle w:val="a0"/>
              <w:ind w:left="118" w:right="118" w:firstLineChars="0" w:firstLine="0"/>
              <w:jc w:val="distribute"/>
            </w:pPr>
            <w:r w:rsidRPr="001A0E92">
              <w:t>匯率</w:t>
            </w:r>
          </w:p>
        </w:tc>
        <w:tc>
          <w:tcPr>
            <w:tcW w:w="6056" w:type="dxa"/>
            <w:shd w:val="clear" w:color="auto" w:fill="auto"/>
            <w:vAlign w:val="center"/>
          </w:tcPr>
          <w:p w:rsidR="00950597" w:rsidRPr="001A0E92" w:rsidRDefault="00950597" w:rsidP="00950597">
            <w:pPr>
              <w:pStyle w:val="a0"/>
              <w:ind w:left="118" w:right="118" w:firstLineChars="0" w:firstLine="0"/>
            </w:pPr>
            <w:r w:rsidRPr="001A0E92">
              <w:t>斯國於</w:t>
            </w:r>
            <w:r w:rsidRPr="001A0E92">
              <w:t>2009</w:t>
            </w:r>
            <w:r w:rsidRPr="001A0E92">
              <w:t>年</w:t>
            </w:r>
            <w:r w:rsidRPr="001A0E92">
              <w:t>1</w:t>
            </w:r>
            <w:r w:rsidRPr="001A0E92">
              <w:t>月</w:t>
            </w:r>
            <w:r w:rsidRPr="001A0E92">
              <w:t>1</w:t>
            </w:r>
            <w:r w:rsidRPr="001A0E92">
              <w:t>日加入歐元區</w:t>
            </w:r>
          </w:p>
          <w:p w:rsidR="00950597" w:rsidRPr="001A0E92" w:rsidRDefault="00950597" w:rsidP="00950597">
            <w:pPr>
              <w:pStyle w:val="a0"/>
              <w:ind w:left="118" w:right="118" w:firstLineChars="0" w:firstLine="0"/>
            </w:pPr>
            <w:r w:rsidRPr="001A0E92">
              <w:t>可查歐元兌換匯率網址：</w:t>
            </w:r>
            <w:r w:rsidRPr="001A0E92">
              <w:t>www.finance.yahoo.com</w:t>
            </w:r>
          </w:p>
        </w:tc>
      </w:tr>
      <w:tr w:rsidR="001A0E92" w:rsidRPr="001A0E92" w:rsidTr="000F0C19">
        <w:tblPrEx>
          <w:tblCellMar>
            <w:left w:w="34" w:type="dxa"/>
          </w:tblCellMar>
        </w:tblPrEx>
        <w:trPr>
          <w:trHeight w:val="737"/>
        </w:trPr>
        <w:tc>
          <w:tcPr>
            <w:tcW w:w="2508" w:type="dxa"/>
            <w:shd w:val="clear" w:color="auto" w:fill="auto"/>
            <w:vAlign w:val="center"/>
          </w:tcPr>
          <w:p w:rsidR="00950597" w:rsidRPr="001A0E92" w:rsidRDefault="003F007E" w:rsidP="009E009F">
            <w:pPr>
              <w:pStyle w:val="a0"/>
              <w:ind w:left="118" w:right="118" w:firstLineChars="0" w:firstLine="0"/>
              <w:jc w:val="distribute"/>
            </w:pPr>
            <w:r w:rsidRPr="001A0E92">
              <w:rPr>
                <w:rFonts w:hint="eastAsia"/>
                <w:lang w:eastAsia="zh-HK"/>
              </w:rPr>
              <w:t>外債</w:t>
            </w:r>
          </w:p>
        </w:tc>
        <w:tc>
          <w:tcPr>
            <w:tcW w:w="6056" w:type="dxa"/>
            <w:shd w:val="clear" w:color="auto" w:fill="auto"/>
            <w:vAlign w:val="center"/>
          </w:tcPr>
          <w:p w:rsidR="00950597" w:rsidRPr="001A0E92" w:rsidRDefault="00950597" w:rsidP="00950597">
            <w:pPr>
              <w:pStyle w:val="a0"/>
              <w:ind w:left="118" w:right="118" w:firstLineChars="0" w:firstLine="0"/>
            </w:pPr>
            <w:r w:rsidRPr="001A0E92">
              <w:t>1,171.1</w:t>
            </w:r>
            <w:r w:rsidRPr="001A0E92">
              <w:t>億歐元</w:t>
            </w:r>
            <w:r w:rsidR="004F0E9D" w:rsidRPr="001A0E92">
              <w:t>（</w:t>
            </w:r>
            <w:r w:rsidRPr="001A0E92">
              <w:t>2022</w:t>
            </w:r>
            <w:r w:rsidR="004F0E9D"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3F007E" w:rsidRPr="001A0E92" w:rsidRDefault="003F007E" w:rsidP="003F007E">
            <w:pPr>
              <w:pStyle w:val="a0"/>
              <w:ind w:left="118" w:right="118" w:firstLineChars="0" w:firstLine="0"/>
              <w:jc w:val="distribute"/>
              <w:rPr>
                <w:lang w:eastAsia="zh-HK"/>
              </w:rPr>
            </w:pPr>
            <w:r w:rsidRPr="001A0E92">
              <w:rPr>
                <w:lang w:eastAsia="zh-HK"/>
              </w:rPr>
              <w:t>產值最高前五種產業</w:t>
            </w:r>
          </w:p>
        </w:tc>
        <w:tc>
          <w:tcPr>
            <w:tcW w:w="6056" w:type="dxa"/>
            <w:shd w:val="clear" w:color="auto" w:fill="auto"/>
            <w:vAlign w:val="center"/>
          </w:tcPr>
          <w:p w:rsidR="003F007E" w:rsidRPr="001A0E92" w:rsidRDefault="003F007E" w:rsidP="00950597">
            <w:pPr>
              <w:pStyle w:val="a0"/>
              <w:ind w:left="118" w:right="118" w:firstLineChars="0" w:firstLine="0"/>
            </w:pPr>
            <w:r w:rsidRPr="001A0E92">
              <w:t>汽車、電機電子、機械、金屬加工、石化</w:t>
            </w:r>
          </w:p>
        </w:tc>
      </w:tr>
      <w:tr w:rsidR="001A0E92" w:rsidRPr="001A0E92" w:rsidTr="000F0C19">
        <w:tblPrEx>
          <w:tblCellMar>
            <w:left w:w="34" w:type="dxa"/>
          </w:tblCellMar>
        </w:tblPrEx>
        <w:trPr>
          <w:trHeight w:val="737"/>
        </w:trPr>
        <w:tc>
          <w:tcPr>
            <w:tcW w:w="2508" w:type="dxa"/>
            <w:shd w:val="clear" w:color="auto" w:fill="auto"/>
            <w:vAlign w:val="center"/>
          </w:tcPr>
          <w:p w:rsidR="003F007E" w:rsidRPr="001A0E92" w:rsidRDefault="003F007E" w:rsidP="003F007E">
            <w:pPr>
              <w:pStyle w:val="a0"/>
              <w:ind w:left="118" w:right="118" w:firstLineChars="0" w:firstLine="0"/>
              <w:jc w:val="distribute"/>
              <w:rPr>
                <w:lang w:eastAsia="zh-HK"/>
              </w:rPr>
            </w:pPr>
            <w:r w:rsidRPr="001A0E92">
              <w:rPr>
                <w:lang w:eastAsia="zh-HK"/>
              </w:rPr>
              <w:t>出口總金額</w:t>
            </w:r>
          </w:p>
        </w:tc>
        <w:tc>
          <w:tcPr>
            <w:tcW w:w="6056" w:type="dxa"/>
            <w:shd w:val="clear" w:color="auto" w:fill="auto"/>
            <w:vAlign w:val="center"/>
          </w:tcPr>
          <w:p w:rsidR="003F007E" w:rsidRPr="001A0E92" w:rsidRDefault="003F007E" w:rsidP="00950597">
            <w:pPr>
              <w:pStyle w:val="a0"/>
              <w:ind w:left="118" w:right="118" w:firstLineChars="0" w:firstLine="0"/>
            </w:pPr>
            <w:r w:rsidRPr="001A0E92">
              <w:t>1,025.7</w:t>
            </w:r>
            <w:r w:rsidRPr="001A0E92">
              <w:t>億歐元（成長</w:t>
            </w:r>
            <w:r w:rsidRPr="001A0E92">
              <w:t>15.8%</w:t>
            </w:r>
            <w:r w:rsidRPr="001A0E92">
              <w:t>）（</w:t>
            </w:r>
            <w:r w:rsidRPr="001A0E92">
              <w:t>2022</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3F007E" w:rsidRPr="001A0E92" w:rsidRDefault="003F007E" w:rsidP="003F007E">
            <w:pPr>
              <w:pStyle w:val="a0"/>
              <w:ind w:left="118" w:right="118" w:firstLineChars="0" w:firstLine="0"/>
              <w:jc w:val="distribute"/>
              <w:rPr>
                <w:lang w:eastAsia="zh-HK"/>
              </w:rPr>
            </w:pPr>
            <w:r w:rsidRPr="001A0E92">
              <w:rPr>
                <w:lang w:eastAsia="zh-HK"/>
              </w:rPr>
              <w:t>主要出口產品</w:t>
            </w:r>
          </w:p>
        </w:tc>
        <w:tc>
          <w:tcPr>
            <w:tcW w:w="6056" w:type="dxa"/>
            <w:shd w:val="clear" w:color="auto" w:fill="auto"/>
            <w:vAlign w:val="center"/>
          </w:tcPr>
          <w:p w:rsidR="003F007E" w:rsidRPr="001A0E92" w:rsidRDefault="003F007E" w:rsidP="00950597">
            <w:pPr>
              <w:pStyle w:val="a0"/>
              <w:ind w:left="118" w:right="118" w:firstLineChars="0" w:firstLine="0"/>
            </w:pPr>
            <w:r w:rsidRPr="001A0E92">
              <w:t>汽車、遙控器及投影設備、汽車零件、監視器、投影設備、電視接收器、電話及手機元件、輪胎、石油礦產品</w:t>
            </w:r>
          </w:p>
        </w:tc>
      </w:tr>
      <w:tr w:rsidR="001A0E92" w:rsidRPr="001A0E92" w:rsidTr="000F0C19">
        <w:tblPrEx>
          <w:tblCellMar>
            <w:left w:w="34" w:type="dxa"/>
          </w:tblCellMar>
        </w:tblPrEx>
        <w:trPr>
          <w:trHeight w:val="737"/>
        </w:trPr>
        <w:tc>
          <w:tcPr>
            <w:tcW w:w="2508" w:type="dxa"/>
            <w:shd w:val="clear" w:color="auto" w:fill="auto"/>
            <w:vAlign w:val="center"/>
          </w:tcPr>
          <w:p w:rsidR="003F007E" w:rsidRPr="001A0E92" w:rsidRDefault="003F007E" w:rsidP="003F007E">
            <w:pPr>
              <w:pStyle w:val="a0"/>
              <w:ind w:left="118" w:right="118" w:firstLineChars="0" w:firstLine="0"/>
              <w:jc w:val="distribute"/>
              <w:rPr>
                <w:lang w:eastAsia="zh-HK"/>
              </w:rPr>
            </w:pPr>
            <w:r w:rsidRPr="001A0E92">
              <w:rPr>
                <w:lang w:eastAsia="zh-HK"/>
              </w:rPr>
              <w:t>主要出口國家</w:t>
            </w:r>
          </w:p>
        </w:tc>
        <w:tc>
          <w:tcPr>
            <w:tcW w:w="6056" w:type="dxa"/>
            <w:shd w:val="clear" w:color="auto" w:fill="auto"/>
            <w:vAlign w:val="center"/>
          </w:tcPr>
          <w:p w:rsidR="003F007E" w:rsidRPr="001A0E92" w:rsidRDefault="003F007E" w:rsidP="00950597">
            <w:pPr>
              <w:pStyle w:val="a0"/>
              <w:ind w:left="118" w:right="118" w:firstLineChars="0" w:firstLine="0"/>
            </w:pPr>
            <w:r w:rsidRPr="001A0E92">
              <w:t>德國、捷克、匈牙利、波蘭、法國、奧地利、義大利、英國、美國、中國大陸</w:t>
            </w:r>
          </w:p>
        </w:tc>
      </w:tr>
      <w:tr w:rsidR="001A0E92" w:rsidRPr="001A0E92" w:rsidTr="000F0C19">
        <w:tblPrEx>
          <w:tblCellMar>
            <w:left w:w="34" w:type="dxa"/>
          </w:tblCellMar>
        </w:tblPrEx>
        <w:trPr>
          <w:trHeight w:val="737"/>
        </w:trPr>
        <w:tc>
          <w:tcPr>
            <w:tcW w:w="2508" w:type="dxa"/>
            <w:shd w:val="clear" w:color="auto" w:fill="auto"/>
            <w:vAlign w:val="center"/>
          </w:tcPr>
          <w:p w:rsidR="003F007E" w:rsidRPr="001A0E92" w:rsidRDefault="003F007E" w:rsidP="003F007E">
            <w:pPr>
              <w:pStyle w:val="a0"/>
              <w:ind w:left="118" w:right="118" w:firstLineChars="0" w:firstLine="0"/>
              <w:jc w:val="distribute"/>
              <w:rPr>
                <w:lang w:eastAsia="zh-HK"/>
              </w:rPr>
            </w:pPr>
            <w:r w:rsidRPr="001A0E92">
              <w:rPr>
                <w:lang w:eastAsia="zh-HK"/>
              </w:rPr>
              <w:t>進口總金額</w:t>
            </w:r>
          </w:p>
        </w:tc>
        <w:tc>
          <w:tcPr>
            <w:tcW w:w="6056" w:type="dxa"/>
            <w:shd w:val="clear" w:color="auto" w:fill="auto"/>
            <w:vAlign w:val="center"/>
          </w:tcPr>
          <w:p w:rsidR="003F007E" w:rsidRPr="001A0E92" w:rsidRDefault="003F007E" w:rsidP="00950597">
            <w:pPr>
              <w:pStyle w:val="a0"/>
              <w:ind w:left="118" w:right="118" w:firstLineChars="0" w:firstLine="0"/>
            </w:pPr>
            <w:r w:rsidRPr="001A0E92">
              <w:t>1,068.8</w:t>
            </w:r>
            <w:r w:rsidRPr="001A0E92">
              <w:t>億歐元（成長</w:t>
            </w:r>
            <w:r w:rsidRPr="001A0E92">
              <w:t>23.3%</w:t>
            </w:r>
            <w:r w:rsidRPr="001A0E92">
              <w:t>）（</w:t>
            </w:r>
            <w:r w:rsidRPr="001A0E92">
              <w:t>2022</w:t>
            </w:r>
            <w:r w:rsidRPr="001A0E92">
              <w:t>）</w:t>
            </w:r>
          </w:p>
        </w:tc>
      </w:tr>
      <w:tr w:rsidR="001A0E92" w:rsidRPr="001A0E92" w:rsidTr="000F0C19">
        <w:tblPrEx>
          <w:tblCellMar>
            <w:left w:w="34" w:type="dxa"/>
          </w:tblCellMar>
        </w:tblPrEx>
        <w:trPr>
          <w:trHeight w:val="737"/>
        </w:trPr>
        <w:tc>
          <w:tcPr>
            <w:tcW w:w="2508" w:type="dxa"/>
            <w:shd w:val="clear" w:color="auto" w:fill="auto"/>
            <w:vAlign w:val="center"/>
          </w:tcPr>
          <w:p w:rsidR="003F007E" w:rsidRPr="001A0E92" w:rsidRDefault="003F007E" w:rsidP="003F007E">
            <w:pPr>
              <w:pStyle w:val="a0"/>
              <w:ind w:left="118" w:right="118" w:firstLineChars="0" w:firstLine="0"/>
              <w:jc w:val="distribute"/>
              <w:rPr>
                <w:lang w:eastAsia="zh-HK"/>
              </w:rPr>
            </w:pPr>
            <w:r w:rsidRPr="001A0E92">
              <w:rPr>
                <w:lang w:eastAsia="zh-HK"/>
              </w:rPr>
              <w:t>主要進口產品</w:t>
            </w:r>
          </w:p>
        </w:tc>
        <w:tc>
          <w:tcPr>
            <w:tcW w:w="6056" w:type="dxa"/>
            <w:shd w:val="clear" w:color="auto" w:fill="auto"/>
            <w:vAlign w:val="center"/>
          </w:tcPr>
          <w:p w:rsidR="003F007E" w:rsidRPr="001A0E92" w:rsidRDefault="003F007E" w:rsidP="00950597">
            <w:pPr>
              <w:pStyle w:val="a0"/>
              <w:ind w:left="118" w:right="118" w:firstLineChars="0" w:firstLine="0"/>
            </w:pPr>
            <w:r w:rsidRPr="001A0E92">
              <w:t>汽車零件、電話及手機元件、運輸設備、石油及其產品、電纜線</w:t>
            </w:r>
          </w:p>
        </w:tc>
      </w:tr>
      <w:tr w:rsidR="001A0E92" w:rsidRPr="001A0E92" w:rsidTr="000F0C19">
        <w:tblPrEx>
          <w:tblCellMar>
            <w:left w:w="34" w:type="dxa"/>
          </w:tblCellMar>
        </w:tblPrEx>
        <w:trPr>
          <w:trHeight w:val="737"/>
        </w:trPr>
        <w:tc>
          <w:tcPr>
            <w:tcW w:w="2508" w:type="dxa"/>
            <w:shd w:val="clear" w:color="auto" w:fill="auto"/>
            <w:vAlign w:val="center"/>
          </w:tcPr>
          <w:p w:rsidR="003F007E" w:rsidRPr="001A0E92" w:rsidRDefault="003F007E" w:rsidP="007B4EB6">
            <w:pPr>
              <w:pStyle w:val="a0"/>
              <w:ind w:left="118" w:right="118" w:firstLineChars="0" w:firstLine="0"/>
              <w:jc w:val="distribute"/>
              <w:rPr>
                <w:lang w:eastAsia="zh-HK"/>
              </w:rPr>
            </w:pPr>
            <w:r w:rsidRPr="001A0E92">
              <w:rPr>
                <w:lang w:eastAsia="zh-HK"/>
              </w:rPr>
              <w:t>主要進口國家</w:t>
            </w:r>
          </w:p>
        </w:tc>
        <w:tc>
          <w:tcPr>
            <w:tcW w:w="6056" w:type="dxa"/>
            <w:shd w:val="clear" w:color="auto" w:fill="auto"/>
            <w:vAlign w:val="center"/>
          </w:tcPr>
          <w:p w:rsidR="003F007E" w:rsidRPr="001A0E92" w:rsidRDefault="003F007E" w:rsidP="007B4EB6">
            <w:pPr>
              <w:pStyle w:val="a0"/>
              <w:ind w:left="118" w:right="118" w:firstLineChars="0" w:firstLine="0"/>
            </w:pPr>
            <w:r w:rsidRPr="001A0E92">
              <w:t>德國、捷克、中國大陸、俄羅斯、韓國、波蘭、匈牙利、越南、義大利、法國</w:t>
            </w:r>
          </w:p>
        </w:tc>
      </w:tr>
    </w:tbl>
    <w:p w:rsidR="0032277D" w:rsidRPr="001A0E92" w:rsidRDefault="00D73808" w:rsidP="009E009F">
      <w:pPr>
        <w:pStyle w:val="a0"/>
        <w:ind w:firstLineChars="0" w:firstLine="0"/>
        <w:rPr>
          <w:lang w:val="zh-TW"/>
        </w:rPr>
      </w:pPr>
      <w:r w:rsidRPr="001A0E92">
        <w:rPr>
          <w:lang w:val="zh-TW"/>
        </w:rPr>
        <w:t>謹</w:t>
      </w:r>
      <w:proofErr w:type="gramStart"/>
      <w:r w:rsidRPr="001A0E92">
        <w:rPr>
          <w:lang w:val="zh-TW"/>
        </w:rPr>
        <w:t>註</w:t>
      </w:r>
      <w:proofErr w:type="gramEnd"/>
      <w:r w:rsidRPr="001A0E92">
        <w:rPr>
          <w:lang w:val="zh-TW"/>
        </w:rPr>
        <w:t>：斯</w:t>
      </w:r>
      <w:proofErr w:type="gramStart"/>
      <w:r w:rsidRPr="001A0E92">
        <w:rPr>
          <w:lang w:val="zh-TW"/>
        </w:rPr>
        <w:t>洛</w:t>
      </w:r>
      <w:proofErr w:type="gramEnd"/>
      <w:r w:rsidRPr="001A0E92">
        <w:rPr>
          <w:lang w:val="zh-TW"/>
        </w:rPr>
        <w:t>伐克統計局</w:t>
      </w:r>
      <w:r w:rsidR="00950597" w:rsidRPr="001A0E92">
        <w:rPr>
          <w:lang w:val="zh-TW"/>
        </w:rPr>
        <w:t>2023</w:t>
      </w:r>
      <w:r w:rsidR="00950597" w:rsidRPr="001A0E92">
        <w:rPr>
          <w:lang w:val="zh-TW"/>
        </w:rPr>
        <w:t>年</w:t>
      </w:r>
      <w:r w:rsidR="00950597" w:rsidRPr="001A0E92">
        <w:rPr>
          <w:lang w:val="zh-TW"/>
        </w:rPr>
        <w:t>4</w:t>
      </w:r>
      <w:r w:rsidR="00950597" w:rsidRPr="001A0E92">
        <w:rPr>
          <w:lang w:val="zh-TW"/>
        </w:rPr>
        <w:t>月</w:t>
      </w:r>
      <w:r w:rsidR="00950597" w:rsidRPr="001A0E92">
        <w:rPr>
          <w:lang w:val="zh-TW"/>
        </w:rPr>
        <w:t>22</w:t>
      </w:r>
      <w:r w:rsidR="00950597" w:rsidRPr="001A0E92">
        <w:rPr>
          <w:lang w:val="zh-TW"/>
        </w:rPr>
        <w:t>日</w:t>
      </w:r>
      <w:r w:rsidRPr="001A0E92">
        <w:rPr>
          <w:lang w:val="zh-TW"/>
        </w:rPr>
        <w:t>資料。</w:t>
      </w:r>
    </w:p>
    <w:p w:rsidR="0032277D" w:rsidRPr="001A0E92" w:rsidRDefault="0032277D" w:rsidP="004639A0"/>
    <w:p w:rsidR="0032277D" w:rsidRPr="001A0E92" w:rsidRDefault="0032277D" w:rsidP="006F3E9A">
      <w:pPr>
        <w:pStyle w:val="a0"/>
        <w:ind w:firstLine="472"/>
        <w:jc w:val="center"/>
      </w:pPr>
    </w:p>
    <w:p w:rsidR="00AA398B" w:rsidRPr="001A0E92" w:rsidRDefault="00AA398B">
      <w:pPr>
        <w:widowControl/>
        <w:pBdr>
          <w:top w:val="none" w:sz="0" w:space="0" w:color="auto"/>
          <w:left w:val="none" w:sz="0" w:space="0" w:color="auto"/>
          <w:bottom w:val="none" w:sz="0" w:space="0" w:color="auto"/>
          <w:right w:val="none" w:sz="0" w:space="0" w:color="auto"/>
        </w:pBdr>
        <w:overflowPunct/>
        <w:autoSpaceDE/>
        <w:autoSpaceDN/>
        <w:jc w:val="left"/>
        <w:rPr>
          <w:kern w:val="1"/>
          <w:lang w:val="x-none"/>
        </w:rPr>
      </w:pPr>
      <w:r w:rsidRPr="001A0E92">
        <w:br w:type="page"/>
      </w:r>
    </w:p>
    <w:p w:rsidR="0032277D" w:rsidRPr="001A0E92" w:rsidRDefault="0032277D" w:rsidP="006F3E9A">
      <w:pPr>
        <w:pStyle w:val="a0"/>
        <w:ind w:firstLine="472"/>
        <w:jc w:val="center"/>
      </w:pPr>
    </w:p>
    <w:p w:rsidR="0032277D" w:rsidRPr="001A0E92" w:rsidRDefault="0032277D">
      <w:pPr>
        <w:sectPr w:rsidR="0032277D" w:rsidRPr="001A0E92" w:rsidSect="00D8781B">
          <w:headerReference w:type="even" r:id="rId12"/>
          <w:headerReference w:type="default" r:id="rId13"/>
          <w:footerReference w:type="even" r:id="rId14"/>
          <w:footerReference w:type="default" r:id="rId15"/>
          <w:headerReference w:type="first" r:id="rId16"/>
          <w:footerReference w:type="first" r:id="rId17"/>
          <w:pgSz w:w="11906" w:h="16838"/>
          <w:pgMar w:top="2268" w:right="1701" w:bottom="1701" w:left="1701" w:header="1134" w:footer="851" w:gutter="0"/>
          <w:cols w:space="720"/>
          <w:docGrid w:type="linesAndChars" w:linePitch="514" w:charSpace="-819"/>
        </w:sectPr>
      </w:pPr>
    </w:p>
    <w:p w:rsidR="0032277D" w:rsidRPr="001A0E92" w:rsidRDefault="0032277D" w:rsidP="009E009F">
      <w:pPr>
        <w:pStyle w:val="af2"/>
        <w:spacing w:before="514" w:after="771"/>
      </w:pPr>
      <w:bookmarkStart w:id="2" w:name="_Toc19484721"/>
      <w:bookmarkStart w:id="3" w:name="_Toc145895370"/>
      <w:bookmarkEnd w:id="0"/>
      <w:bookmarkEnd w:id="1"/>
      <w:r w:rsidRPr="001A0E92">
        <w:t>第壹章  自然人文環境</w:t>
      </w:r>
      <w:bookmarkEnd w:id="2"/>
      <w:bookmarkEnd w:id="3"/>
    </w:p>
    <w:p w:rsidR="0032277D" w:rsidRPr="001A0E92" w:rsidRDefault="0032277D">
      <w:pPr>
        <w:pStyle w:val="af3"/>
        <w:spacing w:before="257" w:after="257"/>
        <w:ind w:left="632" w:hanging="632"/>
        <w:rPr>
          <w:color w:val="auto"/>
        </w:rPr>
      </w:pPr>
      <w:r w:rsidRPr="001A0E92">
        <w:rPr>
          <w:color w:val="auto"/>
          <w:lang w:val="zh-TW"/>
        </w:rPr>
        <w:t>一、自然環境</w:t>
      </w:r>
    </w:p>
    <w:p w:rsidR="00950597" w:rsidRPr="001A0E92" w:rsidRDefault="00950597" w:rsidP="00C85608">
      <w:pPr>
        <w:pStyle w:val="a0"/>
        <w:ind w:firstLine="472"/>
      </w:pPr>
      <w:r w:rsidRPr="001A0E92">
        <w:t>斯洛伐克位於歐洲中心地帶，地理位置優越，多瑙河流經其西南部，境內多山，地勢北高南低，屬四季分明之大陸型氣候，夏季炎熱，惟冬季低溫可至攝氏零下</w:t>
      </w:r>
      <w:r w:rsidRPr="001A0E92">
        <w:t>15</w:t>
      </w:r>
      <w:r w:rsidRPr="001A0E92">
        <w:t>度左右。</w:t>
      </w:r>
    </w:p>
    <w:p w:rsidR="00950597" w:rsidRPr="001A0E92" w:rsidRDefault="00950597" w:rsidP="00C85608">
      <w:pPr>
        <w:pStyle w:val="a0"/>
        <w:ind w:firstLine="472"/>
      </w:pPr>
      <w:r w:rsidRPr="001A0E92">
        <w:t>斯國於</w:t>
      </w:r>
      <w:r w:rsidRPr="001A0E92">
        <w:t>2004</w:t>
      </w:r>
      <w:r w:rsidRPr="001A0E92">
        <w:t>年</w:t>
      </w:r>
      <w:r w:rsidRPr="001A0E92">
        <w:t>5</w:t>
      </w:r>
      <w:r w:rsidRPr="001A0E92">
        <w:t>月</w:t>
      </w:r>
      <w:r w:rsidRPr="001A0E92">
        <w:t>1</w:t>
      </w:r>
      <w:r w:rsidRPr="001A0E92">
        <w:t>日正式加入歐盟，</w:t>
      </w:r>
      <w:r w:rsidRPr="001A0E92">
        <w:t>2007</w:t>
      </w:r>
      <w:r w:rsidRPr="001A0E92">
        <w:t>年</w:t>
      </w:r>
      <w:r w:rsidRPr="001A0E92">
        <w:t>12</w:t>
      </w:r>
      <w:r w:rsidRPr="001A0E92">
        <w:t>月</w:t>
      </w:r>
      <w:r w:rsidRPr="001A0E92">
        <w:t>31</w:t>
      </w:r>
      <w:r w:rsidRPr="001A0E92">
        <w:t>日斯國開始執行申根公約（</w:t>
      </w:r>
      <w:r w:rsidRPr="001A0E92">
        <w:t>Schengen Agreement</w:t>
      </w:r>
      <w:r w:rsidRPr="001A0E92">
        <w:t>）。斯國面積計</w:t>
      </w:r>
      <w:r w:rsidRPr="001A0E92">
        <w:t>4</w:t>
      </w:r>
      <w:r w:rsidRPr="001A0E92">
        <w:t>萬</w:t>
      </w:r>
      <w:r w:rsidRPr="001A0E92">
        <w:t>9,036</w:t>
      </w:r>
      <w:r w:rsidRPr="001A0E92">
        <w:t>平方公里，其鄰邦北有捷克與波蘭，邊界分別長達</w:t>
      </w:r>
      <w:r w:rsidRPr="001A0E92">
        <w:t>215</w:t>
      </w:r>
      <w:r w:rsidRPr="001A0E92">
        <w:t>公里及</w:t>
      </w:r>
      <w:r w:rsidRPr="001A0E92">
        <w:t>444</w:t>
      </w:r>
      <w:r w:rsidRPr="001A0E92">
        <w:t>公里；南有匈牙利，邊界達</w:t>
      </w:r>
      <w:r w:rsidRPr="001A0E92">
        <w:t>677</w:t>
      </w:r>
      <w:r w:rsidRPr="001A0E92">
        <w:t>公里；西有奧地利，邊界僅為</w:t>
      </w:r>
      <w:r w:rsidRPr="001A0E92">
        <w:t>91</w:t>
      </w:r>
      <w:r w:rsidRPr="001A0E92">
        <w:t>公里；東則與烏克蘭接壤，邊界達</w:t>
      </w:r>
      <w:r w:rsidRPr="001A0E92">
        <w:t>97</w:t>
      </w:r>
      <w:r w:rsidRPr="001A0E92">
        <w:t>公里。</w:t>
      </w:r>
    </w:p>
    <w:p w:rsidR="00950597" w:rsidRPr="001A0E92" w:rsidRDefault="00950597" w:rsidP="00C85608">
      <w:pPr>
        <w:pStyle w:val="af3"/>
        <w:spacing w:before="257" w:after="257"/>
        <w:ind w:left="632" w:hanging="632"/>
        <w:rPr>
          <w:color w:val="auto"/>
        </w:rPr>
      </w:pPr>
      <w:r w:rsidRPr="001A0E92">
        <w:rPr>
          <w:color w:val="auto"/>
        </w:rPr>
        <w:t xml:space="preserve">二、人文及社會環境 </w:t>
      </w:r>
    </w:p>
    <w:p w:rsidR="00950597" w:rsidRPr="001A0E92" w:rsidRDefault="00950597" w:rsidP="00C85608">
      <w:pPr>
        <w:pStyle w:val="a0"/>
        <w:ind w:firstLine="472"/>
      </w:pPr>
      <w:r w:rsidRPr="001A0E92">
        <w:t>斯國</w:t>
      </w:r>
      <w:r w:rsidRPr="001A0E92">
        <w:t>2022</w:t>
      </w:r>
      <w:r w:rsidRPr="001A0E92">
        <w:t>年人口</w:t>
      </w:r>
      <w:r w:rsidRPr="001A0E92">
        <w:t>5</w:t>
      </w:r>
      <w:r w:rsidR="00FF29F0" w:rsidRPr="001A0E92">
        <w:rPr>
          <w:rFonts w:hint="eastAsia"/>
        </w:rPr>
        <w:t>46</w:t>
      </w:r>
      <w:r w:rsidRPr="001A0E92">
        <w:t>萬，平均每平方公里僅</w:t>
      </w:r>
      <w:r w:rsidRPr="001A0E92">
        <w:t>110</w:t>
      </w:r>
      <w:r w:rsidRPr="001A0E92">
        <w:t>人，密度不高，外來人口中主要為匈牙利人、吉普賽人、捷克人及烏克蘭人等。在宗教部分，多數人信奉天主教。斯國民風純樸，對外人和善。地處內陸，一般商旅往來仍以歐盟國家為主。</w:t>
      </w:r>
    </w:p>
    <w:p w:rsidR="00950597" w:rsidRPr="001A0E92" w:rsidRDefault="00950597" w:rsidP="00C85608">
      <w:pPr>
        <w:pStyle w:val="a0"/>
        <w:ind w:firstLine="472"/>
      </w:pPr>
      <w:r w:rsidRPr="001A0E92">
        <w:t>斯洛伐克語為官方語言。斯國教育普及，</w:t>
      </w:r>
      <w:r w:rsidRPr="001A0E92">
        <w:t>15</w:t>
      </w:r>
      <w:r w:rsidRPr="001A0E92">
        <w:t>歲以上具讀寫能力者占總人口之</w:t>
      </w:r>
      <w:r w:rsidRPr="001A0E92">
        <w:t>99.6%</w:t>
      </w:r>
      <w:r w:rsidRPr="001A0E92">
        <w:t>。</w:t>
      </w:r>
    </w:p>
    <w:p w:rsidR="00950597" w:rsidRPr="001A0E92" w:rsidRDefault="00950597" w:rsidP="00C85608">
      <w:pPr>
        <w:pStyle w:val="a0"/>
        <w:ind w:firstLine="472"/>
      </w:pPr>
      <w:r w:rsidRPr="001A0E92">
        <w:t>斯國全國分為</w:t>
      </w:r>
      <w:r w:rsidRPr="001A0E92">
        <w:t>8</w:t>
      </w:r>
      <w:r w:rsidRPr="001A0E92">
        <w:t>大自治區（</w:t>
      </w:r>
      <w:r w:rsidRPr="001A0E92">
        <w:t>self-governing regions</w:t>
      </w:r>
      <w:r w:rsidRPr="001A0E92">
        <w:t>），各區行政中心與區同名，各行政區之人口數量分別為：</w:t>
      </w:r>
      <w:r w:rsidRPr="001A0E92">
        <w:t>Bratislava</w:t>
      </w:r>
      <w:r w:rsidRPr="001A0E92">
        <w:t>區（人口約</w:t>
      </w:r>
      <w:r w:rsidRPr="001A0E92">
        <w:t>67</w:t>
      </w:r>
      <w:r w:rsidRPr="001A0E92">
        <w:t>萬人）、</w:t>
      </w:r>
      <w:r w:rsidRPr="001A0E92">
        <w:t>Košice</w:t>
      </w:r>
      <w:r w:rsidRPr="001A0E92">
        <w:t>區（人口約</w:t>
      </w:r>
      <w:r w:rsidRPr="001A0E92">
        <w:t>80</w:t>
      </w:r>
      <w:r w:rsidRPr="001A0E92">
        <w:t>萬人）、</w:t>
      </w:r>
      <w:r w:rsidRPr="001A0E92">
        <w:t>Prešov</w:t>
      </w:r>
      <w:r w:rsidRPr="001A0E92">
        <w:t>區（人口約</w:t>
      </w:r>
      <w:r w:rsidRPr="001A0E92">
        <w:t>82</w:t>
      </w:r>
      <w:r w:rsidRPr="001A0E92">
        <w:t>萬人）、</w:t>
      </w:r>
      <w:r w:rsidRPr="001A0E92">
        <w:t>Nitra</w:t>
      </w:r>
      <w:r w:rsidRPr="001A0E92">
        <w:t>區（人口為</w:t>
      </w:r>
      <w:r w:rsidRPr="001A0E92">
        <w:t>67</w:t>
      </w:r>
      <w:r w:rsidRPr="001A0E92">
        <w:t>萬人）、</w:t>
      </w:r>
      <w:r w:rsidRPr="001A0E92">
        <w:t>Žilina</w:t>
      </w:r>
      <w:r w:rsidRPr="001A0E92">
        <w:t>區（人口約</w:t>
      </w:r>
      <w:r w:rsidRPr="001A0E92">
        <w:t>69</w:t>
      </w:r>
      <w:r w:rsidRPr="001A0E92">
        <w:t>萬人）、</w:t>
      </w:r>
      <w:r w:rsidRPr="001A0E92">
        <w:t>Banská Bystrica</w:t>
      </w:r>
      <w:r w:rsidRPr="001A0E92">
        <w:t>區（人口約</w:t>
      </w:r>
      <w:r w:rsidRPr="001A0E92">
        <w:t>64</w:t>
      </w:r>
      <w:r w:rsidRPr="001A0E92">
        <w:t>萬人）、</w:t>
      </w:r>
      <w:r w:rsidRPr="001A0E92">
        <w:t>Trnava</w:t>
      </w:r>
      <w:r w:rsidRPr="001A0E92">
        <w:t>區（人口約</w:t>
      </w:r>
      <w:r w:rsidRPr="001A0E92">
        <w:t>56</w:t>
      </w:r>
      <w:r w:rsidRPr="001A0E92">
        <w:t>萬人）以及</w:t>
      </w:r>
      <w:r w:rsidRPr="001A0E92">
        <w:t>Trenčín</w:t>
      </w:r>
      <w:r w:rsidRPr="001A0E92">
        <w:t>區（人口為</w:t>
      </w:r>
      <w:r w:rsidRPr="001A0E92">
        <w:t>58</w:t>
      </w:r>
      <w:r w:rsidRPr="001A0E92">
        <w:t>萬人）。</w:t>
      </w:r>
    </w:p>
    <w:p w:rsidR="00950597" w:rsidRPr="001A0E92" w:rsidRDefault="00950597" w:rsidP="00C85608">
      <w:pPr>
        <w:pStyle w:val="af3"/>
        <w:pageBreakBefore/>
        <w:spacing w:before="257" w:after="257"/>
        <w:ind w:left="632" w:hanging="632"/>
        <w:rPr>
          <w:color w:val="auto"/>
        </w:rPr>
      </w:pPr>
      <w:r w:rsidRPr="001A0E92">
        <w:rPr>
          <w:color w:val="auto"/>
        </w:rPr>
        <w:t>三、政治環境</w:t>
      </w:r>
    </w:p>
    <w:p w:rsidR="00950597" w:rsidRPr="001A0E92" w:rsidRDefault="00950597" w:rsidP="00C85608">
      <w:pPr>
        <w:pStyle w:val="a0"/>
        <w:ind w:firstLine="472"/>
      </w:pPr>
      <w:r w:rsidRPr="001A0E92">
        <w:rPr>
          <w:lang w:val="zh-TW"/>
        </w:rPr>
        <w:t>斯洛伐克屬</w:t>
      </w:r>
      <w:r w:rsidRPr="001A0E92">
        <w:t>內閣制，總統為國家元首，現任總統為</w:t>
      </w:r>
      <w:r w:rsidRPr="001A0E92">
        <w:t>Zuzana Čaputová</w:t>
      </w:r>
      <w:r w:rsidRPr="001A0E92">
        <w:t>（</w:t>
      </w:r>
      <w:r w:rsidRPr="001A0E92">
        <w:t>2019</w:t>
      </w:r>
      <w:r w:rsidRPr="001A0E92">
        <w:t>年</w:t>
      </w:r>
      <w:r w:rsidRPr="001A0E92">
        <w:t>6</w:t>
      </w:r>
      <w:r w:rsidRPr="001A0E92">
        <w:t>月</w:t>
      </w:r>
      <w:r w:rsidRPr="001A0E92">
        <w:t>15</w:t>
      </w:r>
      <w:r w:rsidRPr="001A0E92">
        <w:t>日就任）；總理則為最高行政首長，由總統任命國會多數黨領袖擔任，現任總理為</w:t>
      </w:r>
      <w:r w:rsidRPr="001A0E92">
        <w:t>Ludovit Odor</w:t>
      </w:r>
      <w:r w:rsidRPr="001A0E92">
        <w:t>（</w:t>
      </w:r>
      <w:r w:rsidRPr="001A0E92">
        <w:t>2023</w:t>
      </w:r>
      <w:r w:rsidRPr="001A0E92">
        <w:t>年</w:t>
      </w:r>
      <w:r w:rsidRPr="001A0E92">
        <w:t>5</w:t>
      </w:r>
      <w:r w:rsidRPr="001A0E92">
        <w:t>月</w:t>
      </w:r>
      <w:r w:rsidRPr="001A0E92">
        <w:t>15</w:t>
      </w:r>
      <w:r w:rsidRPr="001A0E92">
        <w:t>日就任）。</w:t>
      </w:r>
    </w:p>
    <w:p w:rsidR="00950597" w:rsidRPr="001A0E92" w:rsidRDefault="00950597" w:rsidP="00C85608">
      <w:pPr>
        <w:pStyle w:val="a0"/>
        <w:ind w:firstLine="472"/>
      </w:pPr>
      <w:r w:rsidRPr="001A0E92">
        <w:t>斯國國會於</w:t>
      </w:r>
      <w:r w:rsidRPr="001A0E92">
        <w:t>2022</w:t>
      </w:r>
      <w:r w:rsidRPr="001A0E92">
        <w:t>年</w:t>
      </w:r>
      <w:r w:rsidRPr="001A0E92">
        <w:t>12</w:t>
      </w:r>
      <w:r w:rsidRPr="001A0E92">
        <w:t>月</w:t>
      </w:r>
      <w:r w:rsidRPr="001A0E92">
        <w:t>16</w:t>
      </w:r>
      <w:r w:rsidRPr="001A0E92">
        <w:t>日通過對</w:t>
      </w:r>
      <w:r w:rsidRPr="001A0E92">
        <w:t>Heager</w:t>
      </w:r>
      <w:r w:rsidRPr="001A0E92">
        <w:t>前內閣不信任投票，總統於</w:t>
      </w:r>
      <w:r w:rsidRPr="001A0E92">
        <w:t>12</w:t>
      </w:r>
      <w:r w:rsidRPr="001A0E92">
        <w:t>月</w:t>
      </w:r>
      <w:r w:rsidRPr="001A0E92">
        <w:t>16</w:t>
      </w:r>
      <w:r w:rsidRPr="001A0E92">
        <w:t>日宣布解散內閣，總統並同時宣布暫時委託</w:t>
      </w:r>
      <w:r w:rsidRPr="001A0E92">
        <w:t>H</w:t>
      </w:r>
      <w:r w:rsidRPr="001A0E92">
        <w:t>總理在有限範圍內繼續履行職能，是為看守內閣。目前訂於</w:t>
      </w:r>
      <w:r w:rsidRPr="001A0E92">
        <w:t>2023</w:t>
      </w:r>
      <w:r w:rsidRPr="001A0E92">
        <w:t>年</w:t>
      </w:r>
      <w:r w:rsidRPr="001A0E92">
        <w:t>9</w:t>
      </w:r>
      <w:r w:rsidRPr="001A0E92">
        <w:t>月舉辦大選。惟半年間斯國內閣頻遭媒體批露行政效能不彰、派系爭鬥嚴重，又農業部長遭疑利益輸送、衛生及外交部長相繼請辭等諸多因素，導致在野黨猛烈攻擊要求臨時總理</w:t>
      </w:r>
      <w:r w:rsidRPr="001A0E92">
        <w:t>Heger</w:t>
      </w:r>
      <w:r w:rsidRPr="001A0E92">
        <w:t>下台。</w:t>
      </w:r>
    </w:p>
    <w:p w:rsidR="00950597" w:rsidRPr="001A0E92" w:rsidRDefault="00950597" w:rsidP="00C85608">
      <w:pPr>
        <w:pStyle w:val="a0"/>
        <w:ind w:firstLine="472"/>
      </w:pPr>
      <w:r w:rsidRPr="001A0E92">
        <w:t>斯總統</w:t>
      </w:r>
      <w:r w:rsidRPr="001A0E92">
        <w:t>Zuzana Caputova</w:t>
      </w:r>
      <w:r w:rsidRPr="001A0E92">
        <w:t>於</w:t>
      </w:r>
      <w:r w:rsidRPr="001A0E92">
        <w:t>2023</w:t>
      </w:r>
      <w:r w:rsidRPr="001A0E92">
        <w:t>年</w:t>
      </w:r>
      <w:r w:rsidRPr="001A0E92">
        <w:t>5</w:t>
      </w:r>
      <w:r w:rsidRPr="001A0E92">
        <w:t>月</w:t>
      </w:r>
      <w:r w:rsidRPr="001A0E92">
        <w:t>7</w:t>
      </w:r>
      <w:r w:rsidRPr="001A0E92">
        <w:t>日接受</w:t>
      </w:r>
      <w:r w:rsidRPr="001A0E92">
        <w:t>Heger</w:t>
      </w:r>
      <w:r w:rsidRPr="001A0E92">
        <w:t>辭職，並任命國家銀行副總裁</w:t>
      </w:r>
      <w:r w:rsidRPr="001A0E92">
        <w:t>Ludovit Odor</w:t>
      </w:r>
      <w:r w:rsidRPr="001A0E92">
        <w:t>擔任看守內閣總理，並於</w:t>
      </w:r>
      <w:r w:rsidRPr="001A0E92">
        <w:t>5</w:t>
      </w:r>
      <w:r w:rsidRPr="001A0E92">
        <w:t>月</w:t>
      </w:r>
      <w:r w:rsidRPr="001A0E92">
        <w:t>12</w:t>
      </w:r>
      <w:r w:rsidRPr="001A0E92">
        <w:t>日公布新內閣各部會首長名單，並強調其組成均為非黨派色彩之專家。</w:t>
      </w:r>
    </w:p>
    <w:p w:rsidR="0032277D" w:rsidRPr="001A0E92" w:rsidRDefault="00950597" w:rsidP="00C85608">
      <w:pPr>
        <w:pStyle w:val="a0"/>
        <w:ind w:firstLine="472"/>
      </w:pPr>
      <w:r w:rsidRPr="001A0E92">
        <w:t>全國委員會（</w:t>
      </w:r>
      <w:r w:rsidRPr="001A0E92">
        <w:t>National Council</w:t>
      </w:r>
      <w:r w:rsidRPr="001A0E92">
        <w:t>）為斯國憲法及立法機構，有</w:t>
      </w:r>
      <w:r w:rsidRPr="001A0E92">
        <w:t>150</w:t>
      </w:r>
      <w:r w:rsidRPr="001A0E92">
        <w:t>個席位，議員根據比例代表制選舉產生，任期</w:t>
      </w:r>
      <w:r w:rsidRPr="001A0E92">
        <w:t>4</w:t>
      </w:r>
      <w:r w:rsidRPr="001A0E92">
        <w:t>年。司法部門最高上訴機構為最高法院，下設地區法院和軍事法院。</w:t>
      </w:r>
    </w:p>
    <w:p w:rsidR="0032277D" w:rsidRPr="001A0E92" w:rsidRDefault="0032277D" w:rsidP="00241318">
      <w:pPr>
        <w:widowControl/>
        <w:pBdr>
          <w:top w:val="none" w:sz="0" w:space="0" w:color="auto"/>
          <w:left w:val="none" w:sz="0" w:space="0" w:color="auto"/>
          <w:bottom w:val="none" w:sz="0" w:space="0" w:color="auto"/>
          <w:right w:val="none" w:sz="0" w:space="0" w:color="auto"/>
        </w:pBdr>
        <w:overflowPunct/>
        <w:autoSpaceDE/>
        <w:autoSpaceDN/>
        <w:jc w:val="left"/>
      </w:pPr>
    </w:p>
    <w:p w:rsidR="00933D73" w:rsidRPr="001A0E92" w:rsidRDefault="00933D73" w:rsidP="00241318">
      <w:pPr>
        <w:widowControl/>
        <w:pBdr>
          <w:top w:val="none" w:sz="0" w:space="0" w:color="auto"/>
          <w:left w:val="none" w:sz="0" w:space="0" w:color="auto"/>
          <w:bottom w:val="none" w:sz="0" w:space="0" w:color="auto"/>
          <w:right w:val="none" w:sz="0" w:space="0" w:color="auto"/>
        </w:pBdr>
        <w:overflowPunct/>
        <w:autoSpaceDE/>
        <w:autoSpaceDN/>
        <w:jc w:val="left"/>
      </w:pPr>
    </w:p>
    <w:p w:rsidR="00933D73" w:rsidRPr="001A0E92" w:rsidRDefault="00933D73" w:rsidP="00241318">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kern w:val="1"/>
          <w:sz w:val="40"/>
          <w:lang w:val="x-none"/>
        </w:rPr>
        <w:sectPr w:rsidR="00933D73" w:rsidRPr="001A0E92" w:rsidSect="00D8781B">
          <w:headerReference w:type="even" r:id="rId18"/>
          <w:headerReference w:type="default" r:id="rId19"/>
          <w:footerReference w:type="even" r:id="rId20"/>
          <w:footerReference w:type="default" r:id="rId21"/>
          <w:headerReference w:type="first" r:id="rId22"/>
          <w:footerReference w:type="first" r:id="rId23"/>
          <w:pgSz w:w="11906" w:h="16838" w:code="9"/>
          <w:pgMar w:top="2268" w:right="1701" w:bottom="1701" w:left="1701" w:header="1134" w:footer="851" w:gutter="0"/>
          <w:pgNumType w:start="1"/>
          <w:cols w:space="720"/>
          <w:docGrid w:type="linesAndChars" w:linePitch="514" w:charSpace="-819"/>
        </w:sectPr>
      </w:pPr>
    </w:p>
    <w:p w:rsidR="0032277D" w:rsidRPr="001A0E92" w:rsidRDefault="0032277D" w:rsidP="00933D73">
      <w:pPr>
        <w:pStyle w:val="af2"/>
        <w:spacing w:before="514" w:after="771"/>
      </w:pPr>
      <w:bookmarkStart w:id="4" w:name="_Toc19484722"/>
      <w:bookmarkStart w:id="5" w:name="_Toc145895371"/>
      <w:r w:rsidRPr="001A0E92">
        <w:t>第貳章  經濟環境</w:t>
      </w:r>
      <w:bookmarkEnd w:id="4"/>
      <w:bookmarkEnd w:id="5"/>
    </w:p>
    <w:p w:rsidR="0032277D" w:rsidRPr="001A0E92" w:rsidRDefault="0032277D">
      <w:pPr>
        <w:pStyle w:val="af3"/>
        <w:spacing w:before="257" w:after="257"/>
        <w:ind w:left="632" w:hanging="632"/>
        <w:rPr>
          <w:color w:val="auto"/>
        </w:rPr>
      </w:pPr>
      <w:r w:rsidRPr="001A0E92">
        <w:rPr>
          <w:color w:val="auto"/>
        </w:rPr>
        <w:t>一、經濟概況</w:t>
      </w:r>
    </w:p>
    <w:p w:rsidR="00950597" w:rsidRPr="001A0E92" w:rsidRDefault="00950597" w:rsidP="00C85608">
      <w:pPr>
        <w:pStyle w:val="a0"/>
        <w:ind w:firstLine="472"/>
      </w:pPr>
      <w:r w:rsidRPr="001A0E92">
        <w:t>斯國經歷</w:t>
      </w:r>
      <w:r w:rsidR="005A5E4E" w:rsidRPr="001A0E92">
        <w:t>「嚴重特殊傳染性肺炎」（</w:t>
      </w:r>
      <w:r w:rsidR="005A5E4E" w:rsidRPr="001A0E92">
        <w:t>COVID-19</w:t>
      </w:r>
      <w:r w:rsidR="005A5E4E" w:rsidRPr="001A0E92">
        <w:t>）</w:t>
      </w:r>
      <w:r w:rsidRPr="001A0E92">
        <w:t>疫情重傷及疫後復甦後，</w:t>
      </w:r>
      <w:r w:rsidRPr="001A0E92">
        <w:t>2022</w:t>
      </w:r>
      <w:r w:rsidRPr="001A0E92">
        <w:t>年經濟</w:t>
      </w:r>
      <w:r w:rsidRPr="001A0E92">
        <w:t>GDP</w:t>
      </w:r>
      <w:r w:rsidRPr="001A0E92">
        <w:t>規模為</w:t>
      </w:r>
      <w:r w:rsidRPr="001A0E92">
        <w:t>1,077</w:t>
      </w:r>
      <w:r w:rsidRPr="001A0E92">
        <w:t>億歐元，成長率為</w:t>
      </w:r>
      <w:r w:rsidRPr="001A0E92">
        <w:t>1.7%</w:t>
      </w:r>
      <w:r w:rsidRPr="001A0E92">
        <w:t>，高於</w:t>
      </w:r>
      <w:r w:rsidRPr="001A0E92">
        <w:t>2019</w:t>
      </w:r>
      <w:r w:rsidRPr="001A0E92">
        <w:t>年疫情前的成長率，經濟成長主因為終端消費增長和投資增加。財政赤字占</w:t>
      </w:r>
      <w:r w:rsidRPr="001A0E92">
        <w:t>GDP 3.4%</w:t>
      </w:r>
      <w:r w:rsidRPr="001A0E92">
        <w:t>。失業率為</w:t>
      </w:r>
      <w:r w:rsidRPr="001A0E92">
        <w:t>6%</w:t>
      </w:r>
      <w:r w:rsidRPr="001A0E92">
        <w:t>，優於</w:t>
      </w:r>
      <w:r w:rsidRPr="001A0E92">
        <w:t>2021</w:t>
      </w:r>
      <w:r w:rsidRPr="001A0E92">
        <w:t>年的</w:t>
      </w:r>
      <w:r w:rsidRPr="001A0E92">
        <w:t>6.8%</w:t>
      </w:r>
      <w:r w:rsidRPr="001A0E92">
        <w:t>。全年通貨膨脹率達</w:t>
      </w:r>
      <w:r w:rsidRPr="001A0E92">
        <w:t>12.8%</w:t>
      </w:r>
      <w:r w:rsidRPr="001A0E92">
        <w:t>，較</w:t>
      </w:r>
      <w:r w:rsidRPr="001A0E92">
        <w:t>2020</w:t>
      </w:r>
      <w:r w:rsidRPr="001A0E92">
        <w:t>年的</w:t>
      </w:r>
      <w:r w:rsidRPr="001A0E92">
        <w:t>1.9%</w:t>
      </w:r>
      <w:r w:rsidRPr="001A0E92">
        <w:t>及</w:t>
      </w:r>
      <w:r w:rsidRPr="001A0E92">
        <w:t>2021</w:t>
      </w:r>
      <w:r w:rsidRPr="001A0E92">
        <w:t>年的</w:t>
      </w:r>
      <w:r w:rsidRPr="001A0E92">
        <w:t>3.15%</w:t>
      </w:r>
      <w:r w:rsidRPr="001A0E92">
        <w:t>大幅增加，主因俄烏戰爭所引發的糧食短缺及能源危機。</w:t>
      </w:r>
      <w:r w:rsidRPr="001A0E92">
        <w:t xml:space="preserve"> </w:t>
      </w:r>
      <w:r w:rsidRPr="001A0E92">
        <w:t>工業產值較上年減少</w:t>
      </w:r>
      <w:r w:rsidRPr="001A0E92">
        <w:t>4.7%</w:t>
      </w:r>
      <w:r w:rsidR="004F0E9D" w:rsidRPr="001A0E92">
        <w:rPr>
          <w:rFonts w:hint="eastAsia"/>
        </w:rPr>
        <w:t>（</w:t>
      </w:r>
      <w:r w:rsidRPr="001A0E92">
        <w:t>2021</w:t>
      </w:r>
      <w:r w:rsidRPr="001A0E92">
        <w:t>年時因疫情壓低基期緣故，增長</w:t>
      </w:r>
      <w:r w:rsidRPr="001A0E92">
        <w:t>10.4%</w:t>
      </w:r>
      <w:r w:rsidRPr="001A0E92">
        <w:t>。</w:t>
      </w:r>
      <w:r w:rsidR="004F0E9D" w:rsidRPr="001A0E92">
        <w:rPr>
          <w:rFonts w:hint="eastAsia"/>
        </w:rPr>
        <w:t>）</w:t>
      </w:r>
    </w:p>
    <w:p w:rsidR="00950597" w:rsidRPr="001A0E92" w:rsidRDefault="00950597" w:rsidP="00C85608">
      <w:pPr>
        <w:pStyle w:val="a0"/>
        <w:ind w:firstLine="472"/>
      </w:pPr>
      <w:r w:rsidRPr="001A0E92">
        <w:t> </w:t>
      </w:r>
      <w:r w:rsidRPr="001A0E92">
        <w:t>在薪資方面，根據斯洛伐克統計局的官方數據，</w:t>
      </w:r>
      <w:r w:rsidRPr="001A0E92">
        <w:t>2022</w:t>
      </w:r>
      <w:r w:rsidRPr="001A0E92">
        <w:t>年斯洛伐克的最低工資為每月</w:t>
      </w:r>
      <w:r w:rsidRPr="001A0E92">
        <w:t>646</w:t>
      </w:r>
      <w:r w:rsidRPr="001A0E92">
        <w:t>歐元、平均工資為每月</w:t>
      </w:r>
      <w:r w:rsidRPr="001A0E92">
        <w:t>1,304</w:t>
      </w:r>
      <w:r w:rsidRPr="001A0E92">
        <w:t>歐元，最高薪資的是資訊及通訊部門（</w:t>
      </w:r>
      <w:r w:rsidRPr="001A0E92">
        <w:t>2,278</w:t>
      </w:r>
      <w:r w:rsidRPr="001A0E92">
        <w:t>歐元）以及電力、燃氣、蒸汽和空調供應部門（</w:t>
      </w:r>
      <w:r w:rsidRPr="001A0E92">
        <w:t>2,014</w:t>
      </w:r>
      <w:r w:rsidRPr="001A0E92">
        <w:t>歐元），最低是住宿和餐飲業（</w:t>
      </w:r>
      <w:r w:rsidRPr="001A0E92">
        <w:t>713</w:t>
      </w:r>
      <w:r w:rsidRPr="001A0E92">
        <w:t>歐元）和建築業（</w:t>
      </w:r>
      <w:r w:rsidRPr="001A0E92">
        <w:t>869</w:t>
      </w:r>
      <w:r w:rsidRPr="001A0E92">
        <w:t>歐元）。即便</w:t>
      </w:r>
      <w:r w:rsidRPr="001A0E92">
        <w:t>2022</w:t>
      </w:r>
      <w:r w:rsidRPr="001A0E92">
        <w:t>年平均月薪較</w:t>
      </w:r>
      <w:r w:rsidRPr="001A0E92">
        <w:t>2021</w:t>
      </w:r>
      <w:r w:rsidRPr="001A0E92">
        <w:t>年增長</w:t>
      </w:r>
      <w:r w:rsidRPr="001A0E92">
        <w:t>7.7%</w:t>
      </w:r>
      <w:r w:rsidRPr="001A0E92">
        <w:t>，但受高通膨影響，</w:t>
      </w:r>
      <w:r w:rsidRPr="001A0E92">
        <w:t>2022</w:t>
      </w:r>
      <w:r w:rsidRPr="001A0E92">
        <w:t>年斯國民眾實質月薪減少</w:t>
      </w:r>
      <w:r w:rsidRPr="001A0E92">
        <w:t>4.5%</w:t>
      </w:r>
      <w:r w:rsidRPr="001A0E92">
        <w:t>。另，斯國已公告</w:t>
      </w:r>
      <w:r w:rsidRPr="001A0E92">
        <w:t>2023</w:t>
      </w:r>
      <w:r w:rsidRPr="001A0E92">
        <w:t>年的法定最低薪資為每月</w:t>
      </w:r>
      <w:r w:rsidRPr="001A0E92">
        <w:t>700</w:t>
      </w:r>
      <w:r w:rsidRPr="001A0E92">
        <w:t>歐元。</w:t>
      </w:r>
    </w:p>
    <w:p w:rsidR="00950597" w:rsidRPr="001A0E92" w:rsidRDefault="00950597" w:rsidP="00C85608">
      <w:pPr>
        <w:pStyle w:val="a0"/>
        <w:ind w:firstLine="472"/>
      </w:pPr>
      <w:r w:rsidRPr="001A0E92">
        <w:t>在貿易方面，</w:t>
      </w:r>
      <w:r w:rsidRPr="001A0E92">
        <w:t>2022</w:t>
      </w:r>
      <w:r w:rsidRPr="001A0E92">
        <w:t>年斯國出口</w:t>
      </w:r>
      <w:r w:rsidRPr="001A0E92">
        <w:t>1,025.7</w:t>
      </w:r>
      <w:r w:rsidRPr="001A0E92">
        <w:t>億歐元，較上年成長</w:t>
      </w:r>
      <w:r w:rsidRPr="001A0E92">
        <w:t>15.8%</w:t>
      </w:r>
      <w:r w:rsidRPr="001A0E92">
        <w:t>。主要出口項目包括：小客車、汽車零配件、監視器</w:t>
      </w:r>
      <w:r w:rsidRPr="001A0E92">
        <w:t>/</w:t>
      </w:r>
      <w:r w:rsidRPr="001A0E92">
        <w:t>投影設備</w:t>
      </w:r>
      <w:r w:rsidRPr="001A0E92">
        <w:t>/</w:t>
      </w:r>
      <w:r w:rsidRPr="001A0E92">
        <w:t>電視接收器、無線網路、橡膠輪胎。其中出口增幅較大者為車輛、自瀝青提煉的油類、橡膠輪胎等。進口總額為</w:t>
      </w:r>
      <w:r w:rsidRPr="001A0E92">
        <w:t>1,068.8</w:t>
      </w:r>
      <w:r w:rsidRPr="001A0E92">
        <w:t>億歐元，較上年成長</w:t>
      </w:r>
      <w:r w:rsidRPr="001A0E92">
        <w:t>23.3%</w:t>
      </w:r>
      <w:r w:rsidRPr="001A0E92">
        <w:t>。主要進口項目包括：汽車零配件、有線電話之電子裝置、小客車、藥品、石油及其產品、電纜線。其中進口增幅較大者為礦物燃料</w:t>
      </w:r>
      <w:r w:rsidR="004F0E9D" w:rsidRPr="001A0E92">
        <w:rPr>
          <w:rFonts w:hint="eastAsia"/>
        </w:rPr>
        <w:t>（</w:t>
      </w:r>
      <w:r w:rsidRPr="001A0E92">
        <w:t>如天然氣、電力和石油</w:t>
      </w:r>
      <w:r w:rsidR="004F0E9D" w:rsidRPr="001A0E92">
        <w:rPr>
          <w:rFonts w:hint="eastAsia"/>
        </w:rPr>
        <w:t>）</w:t>
      </w:r>
      <w:r w:rsidRPr="001A0E92">
        <w:t>、拖拉機和其他機動車輛零組件等。</w:t>
      </w:r>
      <w:r w:rsidRPr="001A0E92">
        <w:t>2022</w:t>
      </w:r>
      <w:r w:rsidRPr="001A0E92">
        <w:t>年貿易逆差為</w:t>
      </w:r>
      <w:r w:rsidRPr="001A0E92">
        <w:t>43</w:t>
      </w:r>
      <w:r w:rsidRPr="001A0E92">
        <w:t>億歐元。</w:t>
      </w:r>
    </w:p>
    <w:p w:rsidR="00950597" w:rsidRPr="001A0E92" w:rsidRDefault="00950597" w:rsidP="00C85608">
      <w:pPr>
        <w:pStyle w:val="a0"/>
        <w:ind w:firstLine="472"/>
      </w:pPr>
      <w:r w:rsidRPr="001A0E92">
        <w:t>對主要貿易夥伴出口皆有成長，以出口額排序為德國</w:t>
      </w:r>
      <w:r w:rsidR="004F0E9D" w:rsidRPr="001A0E92">
        <w:rPr>
          <w:rFonts w:hint="eastAsia"/>
        </w:rPr>
        <w:t>（</w:t>
      </w:r>
      <w:r w:rsidRPr="001A0E92">
        <w:t>出口成長</w:t>
      </w:r>
      <w:r w:rsidRPr="001A0E92">
        <w:t>12.3%</w:t>
      </w:r>
      <w:r w:rsidR="004F0E9D" w:rsidRPr="001A0E92">
        <w:rPr>
          <w:rFonts w:hint="eastAsia"/>
        </w:rPr>
        <w:t>）</w:t>
      </w:r>
      <w:r w:rsidRPr="001A0E92">
        <w:t>、捷克</w:t>
      </w:r>
      <w:r w:rsidR="004F0E9D" w:rsidRPr="001A0E92">
        <w:rPr>
          <w:rFonts w:hint="eastAsia"/>
        </w:rPr>
        <w:t>（</w:t>
      </w:r>
      <w:r w:rsidRPr="001A0E92">
        <w:t>19.6%</w:t>
      </w:r>
      <w:r w:rsidR="004F0E9D" w:rsidRPr="001A0E92">
        <w:rPr>
          <w:rFonts w:hint="eastAsia"/>
        </w:rPr>
        <w:t>）</w:t>
      </w:r>
      <w:r w:rsidRPr="001A0E92">
        <w:t>、匈牙利</w:t>
      </w:r>
      <w:r w:rsidR="004F0E9D" w:rsidRPr="001A0E92">
        <w:rPr>
          <w:rFonts w:hint="eastAsia"/>
        </w:rPr>
        <w:t>（</w:t>
      </w:r>
      <w:r w:rsidRPr="001A0E92">
        <w:t>39.4%</w:t>
      </w:r>
      <w:r w:rsidR="004F0E9D" w:rsidRPr="001A0E92">
        <w:rPr>
          <w:rFonts w:hint="eastAsia"/>
        </w:rPr>
        <w:t>）</w:t>
      </w:r>
      <w:r w:rsidRPr="001A0E92">
        <w:t>、波蘭</w:t>
      </w:r>
      <w:r w:rsidR="004F0E9D" w:rsidRPr="001A0E92">
        <w:rPr>
          <w:rFonts w:hint="eastAsia"/>
        </w:rPr>
        <w:t>（</w:t>
      </w:r>
      <w:r w:rsidRPr="001A0E92">
        <w:t>8.3%</w:t>
      </w:r>
      <w:r w:rsidR="004F0E9D" w:rsidRPr="001A0E92">
        <w:rPr>
          <w:rFonts w:hint="eastAsia"/>
        </w:rPr>
        <w:t>）</w:t>
      </w:r>
      <w:r w:rsidRPr="001A0E92">
        <w:t>、法國</w:t>
      </w:r>
      <w:r w:rsidR="004F0E9D" w:rsidRPr="001A0E92">
        <w:rPr>
          <w:rFonts w:hint="eastAsia"/>
        </w:rPr>
        <w:t>（</w:t>
      </w:r>
      <w:r w:rsidRPr="001A0E92">
        <w:t>5.6%</w:t>
      </w:r>
      <w:r w:rsidR="004F0E9D" w:rsidRPr="001A0E92">
        <w:rPr>
          <w:rFonts w:hint="eastAsia"/>
        </w:rPr>
        <w:t>）</w:t>
      </w:r>
      <w:r w:rsidRPr="001A0E92">
        <w:t>、奧地利</w:t>
      </w:r>
      <w:r w:rsidR="004F0E9D" w:rsidRPr="001A0E92">
        <w:rPr>
          <w:rFonts w:hint="eastAsia"/>
        </w:rPr>
        <w:t>（</w:t>
      </w:r>
      <w:r w:rsidRPr="001A0E92">
        <w:t>12.4%</w:t>
      </w:r>
      <w:r w:rsidR="004F0E9D" w:rsidRPr="001A0E92">
        <w:rPr>
          <w:rFonts w:hint="eastAsia"/>
        </w:rPr>
        <w:t>）</w:t>
      </w:r>
      <w:r w:rsidRPr="001A0E92">
        <w:t>、義大利</w:t>
      </w:r>
      <w:r w:rsidR="004F0E9D" w:rsidRPr="001A0E92">
        <w:rPr>
          <w:rFonts w:hint="eastAsia"/>
        </w:rPr>
        <w:t>（</w:t>
      </w:r>
      <w:r w:rsidRPr="001A0E92">
        <w:t>19.8%</w:t>
      </w:r>
      <w:r w:rsidR="004F0E9D" w:rsidRPr="001A0E92">
        <w:rPr>
          <w:rFonts w:hint="eastAsia"/>
        </w:rPr>
        <w:t>）</w:t>
      </w:r>
      <w:r w:rsidRPr="001A0E92">
        <w:t>、英國</w:t>
      </w:r>
      <w:r w:rsidR="004F0E9D" w:rsidRPr="001A0E92">
        <w:rPr>
          <w:rFonts w:hint="eastAsia"/>
        </w:rPr>
        <w:t>（</w:t>
      </w:r>
      <w:r w:rsidRPr="001A0E92">
        <w:t>13.1%</w:t>
      </w:r>
      <w:r w:rsidR="004F0E9D" w:rsidRPr="001A0E92">
        <w:rPr>
          <w:rFonts w:hint="eastAsia"/>
        </w:rPr>
        <w:t>）</w:t>
      </w:r>
      <w:r w:rsidRPr="001A0E92">
        <w:t>、美國</w:t>
      </w:r>
      <w:r w:rsidR="004F0E9D" w:rsidRPr="001A0E92">
        <w:rPr>
          <w:rFonts w:hint="eastAsia"/>
        </w:rPr>
        <w:t>（</w:t>
      </w:r>
      <w:r w:rsidRPr="001A0E92">
        <w:t>24.3%</w:t>
      </w:r>
      <w:r w:rsidR="004F0E9D" w:rsidRPr="001A0E92">
        <w:rPr>
          <w:rFonts w:hint="eastAsia"/>
        </w:rPr>
        <w:t>）</w:t>
      </w:r>
      <w:r w:rsidRPr="001A0E92">
        <w:t>、</w:t>
      </w:r>
      <w:r w:rsidR="005A5E4E" w:rsidRPr="001A0E92">
        <w:t>中國大陸</w:t>
      </w:r>
      <w:r w:rsidR="004F0E9D" w:rsidRPr="001A0E92">
        <w:rPr>
          <w:rFonts w:hint="eastAsia"/>
        </w:rPr>
        <w:t>（</w:t>
      </w:r>
      <w:r w:rsidRPr="001A0E92">
        <w:t>15.8%</w:t>
      </w:r>
      <w:r w:rsidR="004F0E9D" w:rsidRPr="001A0E92">
        <w:rPr>
          <w:rFonts w:hint="eastAsia"/>
        </w:rPr>
        <w:t>）</w:t>
      </w:r>
      <w:r w:rsidRPr="001A0E92">
        <w:t>。但對俄羅斯出口下降了</w:t>
      </w:r>
      <w:r w:rsidRPr="001A0E92">
        <w:t>59.4%</w:t>
      </w:r>
      <w:r w:rsidRPr="001A0E92">
        <w:t>。從主要經濟集團來看，對歐盟國家出口</w:t>
      </w:r>
      <w:r w:rsidR="005A5E4E" w:rsidRPr="001A0E92">
        <w:t>占</w:t>
      </w:r>
      <w:r w:rsidRPr="001A0E92">
        <w:t>斯國總出口高達</w:t>
      </w:r>
      <w:r w:rsidRPr="001A0E92">
        <w:t>80%</w:t>
      </w:r>
      <w:r w:rsidR="004F0E9D" w:rsidRPr="001A0E92">
        <w:rPr>
          <w:rFonts w:hint="eastAsia"/>
        </w:rPr>
        <w:t>（</w:t>
      </w:r>
      <w:r w:rsidRPr="001A0E92">
        <w:t>成長</w:t>
      </w:r>
      <w:r w:rsidRPr="001A0E92">
        <w:t>16.2%</w:t>
      </w:r>
      <w:r w:rsidRPr="001A0E92">
        <w:t>），對經濟合作組織國家</w:t>
      </w:r>
      <w:r w:rsidR="004F0E9D" w:rsidRPr="001A0E92">
        <w:rPr>
          <w:rFonts w:hint="eastAsia"/>
        </w:rPr>
        <w:t>（</w:t>
      </w:r>
      <w:r w:rsidRPr="001A0E92">
        <w:t>OECD</w:t>
      </w:r>
      <w:r w:rsidR="004F0E9D" w:rsidRPr="001A0E92">
        <w:rPr>
          <w:rFonts w:hint="eastAsia"/>
        </w:rPr>
        <w:t>）</w:t>
      </w:r>
      <w:r w:rsidRPr="001A0E92">
        <w:t>出口</w:t>
      </w:r>
      <w:r w:rsidR="005A5E4E" w:rsidRPr="001A0E92">
        <w:t>占</w:t>
      </w:r>
      <w:r w:rsidRPr="001A0E92">
        <w:t>斯國總出口</w:t>
      </w:r>
      <w:r w:rsidRPr="001A0E92">
        <w:t>87.6%</w:t>
      </w:r>
      <w:r w:rsidR="004F0E9D" w:rsidRPr="001A0E92">
        <w:rPr>
          <w:rFonts w:hint="eastAsia"/>
        </w:rPr>
        <w:t>（</w:t>
      </w:r>
      <w:r w:rsidRPr="001A0E92">
        <w:t>成長</w:t>
      </w:r>
      <w:r w:rsidRPr="001A0E92">
        <w:t>16%</w:t>
      </w:r>
      <w:r w:rsidR="004F0E9D" w:rsidRPr="001A0E92">
        <w:rPr>
          <w:rFonts w:hint="eastAsia"/>
        </w:rPr>
        <w:t>）</w:t>
      </w:r>
      <w:r w:rsidRPr="001A0E92">
        <w:t>。</w:t>
      </w:r>
    </w:p>
    <w:p w:rsidR="00950597" w:rsidRPr="001A0E92" w:rsidRDefault="00950597" w:rsidP="00C85608">
      <w:pPr>
        <w:pStyle w:val="a0"/>
        <w:ind w:firstLine="472"/>
      </w:pPr>
      <w:r w:rsidRPr="001A0E92">
        <w:t>進口正成長的貿易夥伴，以進口額排序為捷克</w:t>
      </w:r>
      <w:r w:rsidR="004F0E9D" w:rsidRPr="001A0E92">
        <w:rPr>
          <w:rFonts w:hint="eastAsia"/>
        </w:rPr>
        <w:t>（</w:t>
      </w:r>
      <w:r w:rsidRPr="001A0E92">
        <w:t>增長</w:t>
      </w:r>
      <w:r w:rsidRPr="001A0E92">
        <w:t>12.9%</w:t>
      </w:r>
      <w:r w:rsidR="004F0E9D" w:rsidRPr="001A0E92">
        <w:rPr>
          <w:rFonts w:hint="eastAsia"/>
        </w:rPr>
        <w:t>）</w:t>
      </w:r>
      <w:r w:rsidRPr="001A0E92">
        <w:t>、俄羅斯</w:t>
      </w:r>
      <w:r w:rsidR="004F0E9D" w:rsidRPr="001A0E92">
        <w:rPr>
          <w:rFonts w:hint="eastAsia"/>
        </w:rPr>
        <w:t>（</w:t>
      </w:r>
      <w:r w:rsidRPr="001A0E92">
        <w:t>47.2%</w:t>
      </w:r>
      <w:r w:rsidR="004F0E9D" w:rsidRPr="001A0E92">
        <w:rPr>
          <w:rFonts w:hint="eastAsia"/>
        </w:rPr>
        <w:t>）</w:t>
      </w:r>
      <w:r w:rsidRPr="001A0E92">
        <w:t>、</w:t>
      </w:r>
      <w:r w:rsidR="005A5E4E" w:rsidRPr="001A0E92">
        <w:t>中國大陸</w:t>
      </w:r>
      <w:r w:rsidR="004F0E9D" w:rsidRPr="001A0E92">
        <w:rPr>
          <w:rFonts w:hint="eastAsia"/>
        </w:rPr>
        <w:t>（</w:t>
      </w:r>
      <w:r w:rsidRPr="001A0E92">
        <w:t>27.3%</w:t>
      </w:r>
      <w:r w:rsidR="004F0E9D" w:rsidRPr="001A0E92">
        <w:rPr>
          <w:rFonts w:hint="eastAsia"/>
        </w:rPr>
        <w:t>）</w:t>
      </w:r>
      <w:r w:rsidRPr="001A0E92">
        <w:t>、韓國</w:t>
      </w:r>
      <w:r w:rsidR="004F0E9D" w:rsidRPr="001A0E92">
        <w:rPr>
          <w:rFonts w:hint="eastAsia"/>
        </w:rPr>
        <w:t>（</w:t>
      </w:r>
      <w:r w:rsidRPr="001A0E92">
        <w:t>29.5%</w:t>
      </w:r>
      <w:r w:rsidR="004F0E9D" w:rsidRPr="001A0E92">
        <w:rPr>
          <w:rFonts w:hint="eastAsia"/>
        </w:rPr>
        <w:t>）</w:t>
      </w:r>
      <w:r w:rsidRPr="001A0E92">
        <w:t>、波蘭</w:t>
      </w:r>
      <w:r w:rsidR="004F0E9D" w:rsidRPr="001A0E92">
        <w:rPr>
          <w:rFonts w:hint="eastAsia"/>
        </w:rPr>
        <w:t>（</w:t>
      </w:r>
      <w:r w:rsidRPr="001A0E92">
        <w:t>19.5%</w:t>
      </w:r>
      <w:r w:rsidR="004F0E9D" w:rsidRPr="001A0E92">
        <w:rPr>
          <w:rFonts w:hint="eastAsia"/>
        </w:rPr>
        <w:t>）</w:t>
      </w:r>
      <w:r w:rsidRPr="001A0E92">
        <w:t>、匈牙利</w:t>
      </w:r>
      <w:r w:rsidR="004F0E9D" w:rsidRPr="001A0E92">
        <w:rPr>
          <w:rFonts w:hint="eastAsia"/>
        </w:rPr>
        <w:t>（</w:t>
      </w:r>
      <w:r w:rsidRPr="001A0E92">
        <w:t>56%</w:t>
      </w:r>
      <w:r w:rsidR="004F0E9D" w:rsidRPr="001A0E92">
        <w:rPr>
          <w:rFonts w:hint="eastAsia"/>
        </w:rPr>
        <w:t>）</w:t>
      </w:r>
      <w:r w:rsidRPr="001A0E92">
        <w:t>、越南</w:t>
      </w:r>
      <w:r w:rsidR="004F0E9D" w:rsidRPr="001A0E92">
        <w:rPr>
          <w:rFonts w:hint="eastAsia"/>
        </w:rPr>
        <w:t>（</w:t>
      </w:r>
      <w:r w:rsidRPr="001A0E92">
        <w:t>6.6%</w:t>
      </w:r>
      <w:r w:rsidR="004F0E9D" w:rsidRPr="001A0E92">
        <w:rPr>
          <w:rFonts w:hint="eastAsia"/>
        </w:rPr>
        <w:t>）</w:t>
      </w:r>
      <w:r w:rsidRPr="001A0E92">
        <w:t>、義大利</w:t>
      </w:r>
      <w:r w:rsidR="004F0E9D" w:rsidRPr="001A0E92">
        <w:rPr>
          <w:rFonts w:hint="eastAsia"/>
        </w:rPr>
        <w:t>（</w:t>
      </w:r>
      <w:r w:rsidRPr="001A0E92">
        <w:t>9.9%</w:t>
      </w:r>
      <w:r w:rsidR="004F0E9D" w:rsidRPr="001A0E92">
        <w:rPr>
          <w:rFonts w:hint="eastAsia"/>
        </w:rPr>
        <w:t>）</w:t>
      </w:r>
      <w:r w:rsidRPr="001A0E92">
        <w:t>、法國</w:t>
      </w:r>
      <w:r w:rsidR="004F0E9D" w:rsidRPr="001A0E92">
        <w:rPr>
          <w:rFonts w:hint="eastAsia"/>
        </w:rPr>
        <w:t>（</w:t>
      </w:r>
      <w:r w:rsidRPr="001A0E92">
        <w:t>7.1%</w:t>
      </w:r>
      <w:r w:rsidR="004F0E9D" w:rsidRPr="001A0E92">
        <w:rPr>
          <w:rFonts w:hint="eastAsia"/>
        </w:rPr>
        <w:t>）</w:t>
      </w:r>
      <w:r w:rsidRPr="001A0E92">
        <w:t>、奧地利</w:t>
      </w:r>
      <w:r w:rsidR="004F0E9D" w:rsidRPr="001A0E92">
        <w:rPr>
          <w:rFonts w:hint="eastAsia"/>
        </w:rPr>
        <w:t>（</w:t>
      </w:r>
      <w:r w:rsidRPr="001A0E92">
        <w:t>15.2%</w:t>
      </w:r>
      <w:r w:rsidR="004F0E9D" w:rsidRPr="001A0E92">
        <w:rPr>
          <w:rFonts w:hint="eastAsia"/>
        </w:rPr>
        <w:t>）</w:t>
      </w:r>
      <w:r w:rsidRPr="001A0E92">
        <w:t>。進口負成長的有德國</w:t>
      </w:r>
      <w:r w:rsidR="004F0E9D" w:rsidRPr="001A0E92">
        <w:rPr>
          <w:rFonts w:hint="eastAsia"/>
        </w:rPr>
        <w:t>（</w:t>
      </w:r>
      <w:r w:rsidRPr="001A0E92">
        <w:t>-9.8%</w:t>
      </w:r>
      <w:r w:rsidR="004F0E9D" w:rsidRPr="001A0E92">
        <w:rPr>
          <w:rFonts w:hint="eastAsia"/>
        </w:rPr>
        <w:t>）</w:t>
      </w:r>
      <w:r w:rsidRPr="001A0E92">
        <w:t>，馬來西亞</w:t>
      </w:r>
      <w:r w:rsidR="004F0E9D" w:rsidRPr="001A0E92">
        <w:rPr>
          <w:rFonts w:hint="eastAsia"/>
        </w:rPr>
        <w:t>（</w:t>
      </w:r>
      <w:r w:rsidRPr="001A0E92">
        <w:t>-20.4%</w:t>
      </w:r>
      <w:r w:rsidR="004F0E9D" w:rsidRPr="001A0E92">
        <w:rPr>
          <w:rFonts w:hint="eastAsia"/>
        </w:rPr>
        <w:t>）</w:t>
      </w:r>
      <w:r w:rsidRPr="001A0E92">
        <w:t>。從主要經濟集團來看，自歐盟國家</w:t>
      </w:r>
      <w:r w:rsidR="005A5E4E" w:rsidRPr="001A0E92">
        <w:t>占</w:t>
      </w:r>
      <w:r w:rsidRPr="001A0E92">
        <w:t>斯國總進口的</w:t>
      </w:r>
      <w:r w:rsidRPr="001A0E92">
        <w:t>62.1%</w:t>
      </w:r>
      <w:r w:rsidR="004F0E9D" w:rsidRPr="001A0E92">
        <w:rPr>
          <w:rFonts w:hint="eastAsia"/>
        </w:rPr>
        <w:t>（</w:t>
      </w:r>
      <w:r w:rsidRPr="001A0E92">
        <w:t>成長</w:t>
      </w:r>
      <w:r w:rsidRPr="001A0E92">
        <w:t>19.1%</w:t>
      </w:r>
      <w:r w:rsidRPr="001A0E92">
        <w:t>），自</w:t>
      </w:r>
      <w:r w:rsidRPr="001A0E92">
        <w:t>OECD</w:t>
      </w:r>
      <w:r w:rsidRPr="001A0E92">
        <w:t>國家進口</w:t>
      </w:r>
      <w:r w:rsidR="005A5E4E" w:rsidRPr="001A0E92">
        <w:t>占</w:t>
      </w:r>
      <w:r w:rsidRPr="001A0E92">
        <w:t>總進口的</w:t>
      </w:r>
      <w:r w:rsidRPr="001A0E92">
        <w:t>59.1%</w:t>
      </w:r>
      <w:r w:rsidR="004F0E9D" w:rsidRPr="001A0E92">
        <w:rPr>
          <w:rFonts w:hint="eastAsia"/>
        </w:rPr>
        <w:t>（</w:t>
      </w:r>
      <w:r w:rsidRPr="001A0E92">
        <w:t>成長</w:t>
      </w:r>
      <w:r w:rsidRPr="001A0E92">
        <w:t>12.5%</w:t>
      </w:r>
      <w:r w:rsidRPr="001A0E92">
        <w:t>）。</w:t>
      </w:r>
    </w:p>
    <w:p w:rsidR="00950597" w:rsidRPr="001A0E92" w:rsidRDefault="00950597" w:rsidP="00C85608">
      <w:pPr>
        <w:pStyle w:val="a0"/>
        <w:ind w:firstLine="472"/>
      </w:pPr>
      <w:r w:rsidRPr="001A0E92">
        <w:t>在投資方面，根據斯國投資及貿易局</w:t>
      </w:r>
      <w:r w:rsidR="004F0E9D" w:rsidRPr="001A0E92">
        <w:rPr>
          <w:rFonts w:hint="eastAsia"/>
        </w:rPr>
        <w:t>（</w:t>
      </w:r>
      <w:r w:rsidRPr="001A0E92">
        <w:t>SARIO</w:t>
      </w:r>
      <w:r w:rsidR="004F0E9D" w:rsidRPr="001A0E92">
        <w:rPr>
          <w:rFonts w:hint="eastAsia"/>
        </w:rPr>
        <w:t>）</w:t>
      </w:r>
      <w:r w:rsidRPr="001A0E92">
        <w:t>最新統計，</w:t>
      </w:r>
      <w:r w:rsidRPr="001A0E92">
        <w:t>2022</w:t>
      </w:r>
      <w:r w:rsidRPr="001A0E92">
        <w:t>年共促成</w:t>
      </w:r>
      <w:r w:rsidRPr="001A0E92">
        <w:t>31</w:t>
      </w:r>
      <w:r w:rsidRPr="001A0E92">
        <w:t>件投資案，累計投資金額約</w:t>
      </w:r>
      <w:r w:rsidRPr="001A0E92">
        <w:t>19</w:t>
      </w:r>
      <w:r w:rsidRPr="001A0E92">
        <w:t>億歐元，增加</w:t>
      </w:r>
      <w:r w:rsidRPr="001A0E92">
        <w:t>7,540</w:t>
      </w:r>
      <w:r w:rsidRPr="001A0E92">
        <w:t>個就業機會，</w:t>
      </w:r>
      <w:r w:rsidRPr="001A0E92">
        <w:t>2022</w:t>
      </w:r>
      <w:r w:rsidRPr="001A0E92">
        <w:t>年在斯國宣布重要投資之外商包括瑞典</w:t>
      </w:r>
      <w:r w:rsidRPr="001A0E92">
        <w:t>Volvo</w:t>
      </w:r>
      <w:r w:rsidR="004F0E9D" w:rsidRPr="001A0E92">
        <w:rPr>
          <w:rFonts w:hint="eastAsia"/>
        </w:rPr>
        <w:t>（</w:t>
      </w:r>
      <w:r w:rsidRPr="001A0E92">
        <w:t>電動車</w:t>
      </w:r>
      <w:r w:rsidR="004F0E9D" w:rsidRPr="001A0E92">
        <w:rPr>
          <w:rFonts w:hint="eastAsia"/>
        </w:rPr>
        <w:t>）</w:t>
      </w:r>
      <w:r w:rsidRPr="001A0E92">
        <w:t>、德</w:t>
      </w:r>
      <w:r w:rsidRPr="001A0E92">
        <w:t>Bosch</w:t>
      </w:r>
      <w:r w:rsidR="004F0E9D" w:rsidRPr="001A0E92">
        <w:rPr>
          <w:rFonts w:hint="eastAsia"/>
        </w:rPr>
        <w:t>（</w:t>
      </w:r>
      <w:r w:rsidRPr="001A0E92">
        <w:t>自行車電動馬達</w:t>
      </w:r>
      <w:r w:rsidR="004F0E9D" w:rsidRPr="001A0E92">
        <w:rPr>
          <w:rFonts w:hint="eastAsia"/>
        </w:rPr>
        <w:t>）</w:t>
      </w:r>
      <w:r w:rsidRPr="001A0E92">
        <w:t>、德</w:t>
      </w:r>
      <w:r w:rsidRPr="001A0E92">
        <w:t>Porsche</w:t>
      </w:r>
      <w:r w:rsidR="004F0E9D" w:rsidRPr="001A0E92">
        <w:rPr>
          <w:rFonts w:hint="eastAsia"/>
        </w:rPr>
        <w:t>（</w:t>
      </w:r>
      <w:r w:rsidRPr="001A0E92">
        <w:t>電動車用鋰離子模組</w:t>
      </w:r>
      <w:r w:rsidR="004F0E9D" w:rsidRPr="001A0E92">
        <w:rPr>
          <w:rFonts w:hint="eastAsia"/>
        </w:rPr>
        <w:t>）</w:t>
      </w:r>
      <w:r w:rsidRPr="001A0E92">
        <w:t>等。</w:t>
      </w:r>
    </w:p>
    <w:p w:rsidR="00950597" w:rsidRPr="001A0E92" w:rsidRDefault="00950597" w:rsidP="00C85608">
      <w:pPr>
        <w:pStyle w:val="af3"/>
        <w:spacing w:before="257" w:after="257"/>
        <w:ind w:left="632" w:hanging="632"/>
        <w:rPr>
          <w:color w:val="auto"/>
        </w:rPr>
      </w:pPr>
      <w:r w:rsidRPr="001A0E92">
        <w:rPr>
          <w:color w:val="auto"/>
        </w:rPr>
        <w:t>二、天然資源</w:t>
      </w:r>
    </w:p>
    <w:p w:rsidR="00950597" w:rsidRPr="001A0E92" w:rsidRDefault="00950597" w:rsidP="00C85608">
      <w:pPr>
        <w:pStyle w:val="a0"/>
        <w:ind w:firstLine="472"/>
      </w:pPr>
      <w:r w:rsidRPr="001A0E92">
        <w:t>斯洛伐克總面積為</w:t>
      </w:r>
      <w:r w:rsidRPr="001A0E92">
        <w:t>49,036</w:t>
      </w:r>
      <w:r w:rsidRPr="001A0E92">
        <w:t>平方公里，其中可耕種農地占地</w:t>
      </w:r>
      <w:r w:rsidRPr="001A0E92">
        <w:t>49.7%</w:t>
      </w:r>
      <w:r w:rsidRPr="001A0E92">
        <w:t>，其餘則屬森林區（</w:t>
      </w:r>
      <w:r w:rsidRPr="001A0E92">
        <w:t>40.8%</w:t>
      </w:r>
      <w:r w:rsidRPr="001A0E92">
        <w:t>）及丘陵地與河川等。與鄰近中東歐國家比較，斯國農地面積較少。斯國天然資源不虞匱乏，蘊藏煤礦、銅礦、錳礦、鈾礦及鐵砂。</w:t>
      </w:r>
    </w:p>
    <w:p w:rsidR="00950597" w:rsidRPr="001A0E92" w:rsidRDefault="00950597" w:rsidP="00C85608">
      <w:pPr>
        <w:pStyle w:val="af3"/>
        <w:pageBreakBefore/>
        <w:spacing w:before="257" w:after="257"/>
        <w:ind w:left="632" w:hanging="632"/>
        <w:rPr>
          <w:color w:val="auto"/>
        </w:rPr>
      </w:pPr>
      <w:r w:rsidRPr="001A0E92">
        <w:rPr>
          <w:color w:val="auto"/>
        </w:rPr>
        <w:t>三、產業概況</w:t>
      </w:r>
    </w:p>
    <w:p w:rsidR="00950597" w:rsidRPr="001A0E92" w:rsidRDefault="00950597" w:rsidP="00C85608">
      <w:pPr>
        <w:pStyle w:val="af8"/>
        <w:ind w:left="944" w:hanging="708"/>
      </w:pPr>
      <w:r w:rsidRPr="001A0E92">
        <w:t>（一）汽車產業</w:t>
      </w:r>
    </w:p>
    <w:p w:rsidR="00950597" w:rsidRPr="001A0E92" w:rsidRDefault="00950597" w:rsidP="00C85608">
      <w:pPr>
        <w:pStyle w:val="af9"/>
        <w:ind w:left="944" w:firstLine="472"/>
      </w:pPr>
      <w:r w:rsidRPr="001A0E92">
        <w:t>汽車業一直為斯洛伐克外人直接投資重要領域、最重要工業部門及經濟主導力量，斯國有</w:t>
      </w:r>
      <w:r w:rsidRPr="001A0E92">
        <w:t>Volkswagen</w:t>
      </w:r>
      <w:r w:rsidRPr="001A0E92">
        <w:t>、</w:t>
      </w:r>
      <w:r w:rsidRPr="001A0E92">
        <w:t>KIA</w:t>
      </w:r>
      <w:r w:rsidRPr="001A0E92">
        <w:t>、</w:t>
      </w:r>
      <w:r w:rsidRPr="001A0E92">
        <w:t>Stellantis</w:t>
      </w:r>
      <w:r w:rsidRPr="001A0E92">
        <w:t>、</w:t>
      </w:r>
      <w:r w:rsidRPr="001A0E92">
        <w:t>Jaguar Land Rover</w:t>
      </w:r>
      <w:r w:rsidRPr="001A0E92">
        <w:t>四大外商車廠，其產量使斯國位居全世界</w:t>
      </w:r>
      <w:r w:rsidRPr="001A0E92">
        <w:t>20</w:t>
      </w:r>
      <w:r w:rsidRPr="001A0E92">
        <w:t>大汽車生產國之一。</w:t>
      </w:r>
      <w:r w:rsidRPr="001A0E92">
        <w:t>2022</w:t>
      </w:r>
      <w:r w:rsidRPr="001A0E92">
        <w:t>年產量超過</w:t>
      </w:r>
      <w:r w:rsidRPr="001A0E92">
        <w:t>100</w:t>
      </w:r>
      <w:r w:rsidRPr="001A0E92">
        <w:t>萬輛汽車。除此之外，</w:t>
      </w:r>
      <w:r w:rsidRPr="001A0E92">
        <w:t>Volvo</w:t>
      </w:r>
      <w:r w:rsidRPr="001A0E92">
        <w:t>已宣</w:t>
      </w:r>
      <w:r w:rsidR="005A5E4E" w:rsidRPr="001A0E92">
        <w:t>布</w:t>
      </w:r>
      <w:r w:rsidRPr="001A0E92">
        <w:t>宣布投資</w:t>
      </w:r>
      <w:r w:rsidRPr="001A0E92">
        <w:t>12</w:t>
      </w:r>
      <w:r w:rsidRPr="001A0E92">
        <w:t>億歐元在斯國東部</w:t>
      </w:r>
      <w:r w:rsidRPr="001A0E92">
        <w:t>Kosice</w:t>
      </w:r>
      <w:r w:rsidRPr="001A0E92">
        <w:t>省</w:t>
      </w:r>
      <w:r w:rsidRPr="001A0E92">
        <w:t>Valaliky</w:t>
      </w:r>
      <w:r w:rsidRPr="001A0E92">
        <w:t>工業園區興建電動車組裝廠，預計於</w:t>
      </w:r>
      <w:r w:rsidRPr="001A0E92">
        <w:t>2026</w:t>
      </w:r>
      <w:r w:rsidRPr="001A0E92">
        <w:t>年量產，屆時斯國汽車工業將有五大車廠。</w:t>
      </w:r>
      <w:r w:rsidRPr="001A0E92">
        <w:t>2022</w:t>
      </w:r>
      <w:r w:rsidRPr="001A0E92">
        <w:t>年斯洛伐克每千人汽車生產量為</w:t>
      </w:r>
      <w:r w:rsidRPr="001A0E92">
        <w:t>183</w:t>
      </w:r>
      <w:r w:rsidRPr="001A0E92">
        <w:t>輛，蟬聯全球人均汽車產量冠軍。</w:t>
      </w:r>
    </w:p>
    <w:p w:rsidR="00950597" w:rsidRPr="001A0E92" w:rsidRDefault="00950597" w:rsidP="00C85608">
      <w:pPr>
        <w:pStyle w:val="af9"/>
        <w:ind w:left="944" w:firstLine="472"/>
      </w:pPr>
      <w:r w:rsidRPr="001A0E92">
        <w:t>2022</w:t>
      </w:r>
      <w:r w:rsidRPr="001A0E92">
        <w:t>年斯國汽車工業重點指標包含直接受僱於汽車生產業人數達</w:t>
      </w:r>
      <w:r w:rsidRPr="001A0E92">
        <w:t>16</w:t>
      </w:r>
      <w:r w:rsidRPr="001A0E92">
        <w:t>萬</w:t>
      </w:r>
      <w:r w:rsidRPr="001A0E92">
        <w:t>4,000</w:t>
      </w:r>
      <w:r w:rsidRPr="001A0E92">
        <w:t>人；直接及間接由汽車業所僱用人數超過</w:t>
      </w:r>
      <w:r w:rsidRPr="001A0E92">
        <w:t>24</w:t>
      </w:r>
      <w:r w:rsidRPr="001A0E92">
        <w:t>萬</w:t>
      </w:r>
      <w:r w:rsidRPr="001A0E92">
        <w:t>5,000</w:t>
      </w:r>
      <w:r w:rsidRPr="001A0E92">
        <w:t>人、占</w:t>
      </w:r>
      <w:r w:rsidRPr="001A0E92">
        <w:t>GDP</w:t>
      </w:r>
      <w:r w:rsidRPr="001A0E92">
        <w:t>比重達</w:t>
      </w:r>
      <w:r w:rsidRPr="001A0E92">
        <w:t>12%</w:t>
      </w:r>
      <w:r w:rsidRPr="001A0E92">
        <w:t>、占工業總產量</w:t>
      </w:r>
      <w:r w:rsidRPr="001A0E92">
        <w:t>48%</w:t>
      </w:r>
      <w:r w:rsidRPr="001A0E92">
        <w:t>。</w:t>
      </w:r>
    </w:p>
    <w:p w:rsidR="00950597" w:rsidRPr="001A0E92" w:rsidRDefault="00950597" w:rsidP="00C85608">
      <w:pPr>
        <w:pStyle w:val="af9"/>
        <w:ind w:left="944" w:firstLine="472"/>
      </w:pPr>
      <w:r w:rsidRPr="001A0E92">
        <w:t>斯洛伐克四大外商汽車製造廠</w:t>
      </w:r>
      <w:r w:rsidR="004F0E9D" w:rsidRPr="001A0E92">
        <w:rPr>
          <w:rFonts w:hint="eastAsia"/>
        </w:rPr>
        <w:t>（</w:t>
      </w:r>
      <w:r w:rsidRPr="001A0E92">
        <w:t>the 4 Bigs</w:t>
      </w:r>
      <w:r w:rsidR="004F0E9D" w:rsidRPr="001A0E92">
        <w:rPr>
          <w:rFonts w:hint="eastAsia"/>
        </w:rPr>
        <w:t>）</w:t>
      </w:r>
      <w:r w:rsidRPr="001A0E92">
        <w:t>概況如下。</w:t>
      </w:r>
    </w:p>
    <w:p w:rsidR="00950597" w:rsidRPr="001A0E92" w:rsidRDefault="00C85608" w:rsidP="00C85608">
      <w:pPr>
        <w:pStyle w:val="afb"/>
        <w:ind w:left="1416" w:hanging="472"/>
      </w:pPr>
      <w:r w:rsidRPr="001A0E92">
        <w:t>１</w:t>
      </w:r>
      <w:r w:rsidRPr="001A0E92">
        <w:rPr>
          <w:rFonts w:hint="eastAsia"/>
        </w:rPr>
        <w:t>、</w:t>
      </w:r>
      <w:r w:rsidR="00950597" w:rsidRPr="001A0E92">
        <w:t>Volkswagen Slovakia</w:t>
      </w:r>
    </w:p>
    <w:p w:rsidR="00950597" w:rsidRPr="001A0E92" w:rsidRDefault="00181F63" w:rsidP="00181F63">
      <w:pPr>
        <w:pStyle w:val="12"/>
        <w:ind w:left="1652" w:hangingChars="100" w:hanging="236"/>
        <w:rPr>
          <w:lang w:val="en-US"/>
        </w:rPr>
      </w:pPr>
      <w:r w:rsidRPr="001A0E92">
        <w:rPr>
          <w:lang w:val="en-US"/>
        </w:rPr>
        <w:t>■</w:t>
      </w:r>
      <w:r w:rsidRPr="001A0E92">
        <w:rPr>
          <w:rFonts w:hint="eastAsia"/>
          <w:lang w:val="en-US"/>
        </w:rPr>
        <w:tab/>
      </w:r>
      <w:r w:rsidR="00950597" w:rsidRPr="001A0E92">
        <w:rPr>
          <w:lang w:val="en-US"/>
        </w:rPr>
        <w:t>成立年份：</w:t>
      </w:r>
      <w:r w:rsidR="00950597" w:rsidRPr="001A0E92">
        <w:rPr>
          <w:lang w:val="en-US"/>
        </w:rPr>
        <w:t>1991</w:t>
      </w:r>
      <w:r w:rsidR="00950597" w:rsidRPr="001A0E92">
        <w:rPr>
          <w:lang w:val="en-US"/>
        </w:rPr>
        <w:t>年</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年產量</w:t>
      </w:r>
      <w:r w:rsidR="004F0E9D" w:rsidRPr="001A0E92">
        <w:rPr>
          <w:rFonts w:hint="eastAsia"/>
        </w:rPr>
        <w:t>（</w:t>
      </w:r>
      <w:r w:rsidR="00950597" w:rsidRPr="001A0E92">
        <w:t>2021</w:t>
      </w:r>
      <w:r w:rsidR="00950597" w:rsidRPr="001A0E92">
        <w:t>年</w:t>
      </w:r>
      <w:r w:rsidR="004F0E9D" w:rsidRPr="001A0E92">
        <w:rPr>
          <w:rFonts w:hint="eastAsia"/>
        </w:rPr>
        <w:t>）</w:t>
      </w:r>
      <w:r w:rsidR="00950597" w:rsidRPr="001A0E92">
        <w:t>：</w:t>
      </w:r>
      <w:r w:rsidR="00950597" w:rsidRPr="001A0E92">
        <w:t>30</w:t>
      </w:r>
      <w:r w:rsidR="00950597" w:rsidRPr="001A0E92">
        <w:t>萬</w:t>
      </w:r>
      <w:r w:rsidR="00950597" w:rsidRPr="001A0E92">
        <w:t>9,348</w:t>
      </w:r>
      <w:r w:rsidR="00950597" w:rsidRPr="001A0E92">
        <w:t>輛；其中</w:t>
      </w:r>
      <w:r w:rsidR="00950597" w:rsidRPr="001A0E92">
        <w:t>8.6</w:t>
      </w:r>
      <w:r w:rsidR="00950597" w:rsidRPr="001A0E92">
        <w:t>萬輛為電動車</w:t>
      </w:r>
      <w:r w:rsidR="004F0E9D" w:rsidRPr="001A0E92">
        <w:rPr>
          <w:rFonts w:hint="eastAsia"/>
        </w:rPr>
        <w:t>（</w:t>
      </w:r>
      <w:r w:rsidR="00950597" w:rsidRPr="001A0E92">
        <w:t>BEV</w:t>
      </w:r>
      <w:r w:rsidR="00950597" w:rsidRPr="001A0E92">
        <w:t>或</w:t>
      </w:r>
      <w:r w:rsidR="00950597" w:rsidRPr="001A0E92">
        <w:t>Hybrid</w:t>
      </w:r>
      <w:r w:rsidR="004F0E9D" w:rsidRPr="001A0E92">
        <w:rPr>
          <w:rFonts w:hint="eastAsia"/>
        </w:rPr>
        <w:t>）</w:t>
      </w:r>
      <w:r w:rsidR="00950597" w:rsidRPr="001A0E92">
        <w:t>占比約</w:t>
      </w:r>
      <w:r w:rsidR="00950597" w:rsidRPr="001A0E92">
        <w:t>28%</w:t>
      </w:r>
      <w:r w:rsidR="00950597" w:rsidRPr="001A0E92">
        <w:t>。</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營業額：</w:t>
      </w:r>
      <w:r w:rsidR="00950597" w:rsidRPr="001A0E92">
        <w:t>98</w:t>
      </w:r>
      <w:r w:rsidR="00950597" w:rsidRPr="001A0E92">
        <w:t>億歐元</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員工數：</w:t>
      </w:r>
      <w:r w:rsidR="00950597" w:rsidRPr="001A0E92">
        <w:t>1</w:t>
      </w:r>
      <w:r w:rsidR="00950597" w:rsidRPr="001A0E92">
        <w:t>萬</w:t>
      </w:r>
      <w:r w:rsidR="00950597" w:rsidRPr="001A0E92">
        <w:t>1,500</w:t>
      </w:r>
      <w:r w:rsidR="00950597" w:rsidRPr="001A0E92">
        <w:t>名</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地點：</w:t>
      </w:r>
      <w:r w:rsidR="00950597" w:rsidRPr="001A0E92">
        <w:t>Bratislava</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車款：</w:t>
      </w:r>
      <w:r w:rsidR="00950597" w:rsidRPr="001A0E92">
        <w:t>Skoda Karoq, Audi Q7, Audi Q8, Porsche Cayenne, Porsche Cayene Coupé,</w:t>
      </w:r>
      <w:r w:rsidR="00C85608" w:rsidRPr="001A0E92">
        <w:rPr>
          <w:rFonts w:hint="eastAsia"/>
        </w:rPr>
        <w:t xml:space="preserve"> </w:t>
      </w:r>
      <w:r w:rsidR="00950597" w:rsidRPr="001A0E92">
        <w:t xml:space="preserve">Volkswagen Touareg,    </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EV</w:t>
      </w:r>
      <w:r w:rsidR="00950597" w:rsidRPr="001A0E92">
        <w:t>車款</w:t>
      </w:r>
      <w:r w:rsidR="00C85608" w:rsidRPr="001A0E92">
        <w:rPr>
          <w:rFonts w:hint="eastAsia"/>
        </w:rPr>
        <w:t>：</w:t>
      </w:r>
      <w:r w:rsidR="00950597" w:rsidRPr="001A0E92">
        <w:t>VW up!, Skoda Citigo iV, Seat Mii, BEV e-up!, C-SUV</w:t>
      </w:r>
      <w:r w:rsidR="00950597" w:rsidRPr="001A0E92">
        <w:t>全系列</w:t>
      </w:r>
      <w:r w:rsidR="004F0E9D" w:rsidRPr="001A0E92">
        <w:rPr>
          <w:rFonts w:hint="eastAsia"/>
        </w:rPr>
        <w:t>（</w:t>
      </w:r>
      <w:r w:rsidR="00950597" w:rsidRPr="001A0E92">
        <w:t>VW Touareg PHEV, Audi Q8 PHEV</w:t>
      </w:r>
      <w:r w:rsidR="004F0E9D" w:rsidRPr="001A0E92">
        <w:rPr>
          <w:rFonts w:hint="eastAsia"/>
        </w:rPr>
        <w:t>）</w:t>
      </w:r>
      <w:r w:rsidR="00950597" w:rsidRPr="001A0E92">
        <w:t>；</w:t>
      </w:r>
      <w:r w:rsidR="00950597" w:rsidRPr="001A0E92">
        <w:t>VW</w:t>
      </w:r>
      <w:r w:rsidR="00950597" w:rsidRPr="001A0E92">
        <w:t>斯國廠已宣布自</w:t>
      </w:r>
      <w:r w:rsidR="00950597" w:rsidRPr="001A0E92">
        <w:t>2023</w:t>
      </w:r>
      <w:r w:rsidR="00950597" w:rsidRPr="001A0E92">
        <w:t>年</w:t>
      </w:r>
      <w:r w:rsidR="00950597" w:rsidRPr="001A0E92">
        <w:t>3</w:t>
      </w:r>
      <w:r w:rsidR="00950597" w:rsidRPr="001A0E92">
        <w:t>月生產</w:t>
      </w:r>
      <w:r w:rsidR="00950597" w:rsidRPr="001A0E92">
        <w:t>Porsche</w:t>
      </w:r>
      <w:r w:rsidR="00950597" w:rsidRPr="001A0E92">
        <w:t>全電動休旅車</w:t>
      </w:r>
      <w:r w:rsidR="00950597" w:rsidRPr="001A0E92">
        <w:t>Cayenne model</w:t>
      </w:r>
      <w:r w:rsidR="00950597" w:rsidRPr="001A0E92">
        <w:t>。</w:t>
      </w:r>
    </w:p>
    <w:p w:rsidR="00950597" w:rsidRPr="001A0E92" w:rsidRDefault="00C85608" w:rsidP="00181F63">
      <w:pPr>
        <w:pStyle w:val="afb"/>
        <w:ind w:left="1416" w:hanging="472"/>
      </w:pPr>
      <w:r w:rsidRPr="001A0E92">
        <w:t>２</w:t>
      </w:r>
      <w:r w:rsidRPr="001A0E92">
        <w:rPr>
          <w:rFonts w:hint="eastAsia"/>
        </w:rPr>
        <w:t>、</w:t>
      </w:r>
      <w:r w:rsidR="00950597" w:rsidRPr="001A0E92">
        <w:t>Stellantis Slovakia</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成立年份：</w:t>
      </w:r>
      <w:r w:rsidR="00950597" w:rsidRPr="001A0E92">
        <w:t>2006</w:t>
      </w:r>
      <w:r w:rsidR="00950597" w:rsidRPr="001A0E92">
        <w:t>年在</w:t>
      </w:r>
      <w:r w:rsidR="00950597" w:rsidRPr="001A0E92">
        <w:t>Trnava</w:t>
      </w:r>
      <w:r w:rsidR="00950597" w:rsidRPr="001A0E92">
        <w:t>開始生產</w:t>
      </w:r>
    </w:p>
    <w:p w:rsidR="00950597" w:rsidRPr="001A0E92" w:rsidRDefault="00181F63" w:rsidP="00181F63">
      <w:pPr>
        <w:pStyle w:val="12"/>
        <w:ind w:left="1652" w:hangingChars="100" w:hanging="236"/>
      </w:pPr>
      <w:r w:rsidRPr="001A0E92">
        <w:t>■</w:t>
      </w:r>
      <w:r w:rsidRPr="001A0E92">
        <w:rPr>
          <w:rFonts w:hint="eastAsia"/>
        </w:rPr>
        <w:tab/>
      </w:r>
      <w:r w:rsidR="00950597" w:rsidRPr="001A0E92">
        <w:t>產量</w:t>
      </w:r>
      <w:r w:rsidR="004F0E9D" w:rsidRPr="001A0E92">
        <w:t>（</w:t>
      </w:r>
      <w:r w:rsidR="00950597" w:rsidRPr="001A0E92">
        <w:t>2020</w:t>
      </w:r>
      <w:r w:rsidR="00950597" w:rsidRPr="001A0E92">
        <w:t>年</w:t>
      </w:r>
      <w:r w:rsidR="004F0E9D" w:rsidRPr="001A0E92">
        <w:t>）</w:t>
      </w:r>
      <w:r w:rsidR="00950597" w:rsidRPr="001A0E92">
        <w:t>：</w:t>
      </w:r>
      <w:r w:rsidR="00950597" w:rsidRPr="001A0E92">
        <w:t xml:space="preserve"> 33</w:t>
      </w:r>
      <w:r w:rsidR="00950597" w:rsidRPr="001A0E92">
        <w:t>萬</w:t>
      </w:r>
      <w:r w:rsidR="00950597" w:rsidRPr="001A0E92">
        <w:t>8,050</w:t>
      </w:r>
      <w:r w:rsidR="00950597" w:rsidRPr="001A0E92">
        <w:t>輛</w:t>
      </w:r>
    </w:p>
    <w:p w:rsidR="00950597" w:rsidRPr="001A0E92" w:rsidRDefault="00181F63" w:rsidP="00181F63">
      <w:pPr>
        <w:pStyle w:val="12"/>
        <w:ind w:left="1652" w:hangingChars="100" w:hanging="236"/>
      </w:pPr>
      <w:r w:rsidRPr="001A0E92">
        <w:t>■</w:t>
      </w:r>
      <w:r w:rsidRPr="001A0E92">
        <w:rPr>
          <w:rFonts w:hint="eastAsia"/>
        </w:rPr>
        <w:tab/>
      </w:r>
      <w:r w:rsidR="00950597" w:rsidRPr="001A0E92">
        <w:t>營業額：</w:t>
      </w:r>
      <w:r w:rsidR="00950597" w:rsidRPr="001A0E92">
        <w:t>34</w:t>
      </w:r>
      <w:r w:rsidR="00950597" w:rsidRPr="001A0E92">
        <w:t>億歐元</w:t>
      </w:r>
    </w:p>
    <w:p w:rsidR="00950597" w:rsidRPr="001A0E92" w:rsidRDefault="00181F63" w:rsidP="00181F63">
      <w:pPr>
        <w:pStyle w:val="12"/>
        <w:ind w:left="1652" w:hangingChars="100" w:hanging="236"/>
      </w:pPr>
      <w:r w:rsidRPr="001A0E92">
        <w:t>■</w:t>
      </w:r>
      <w:r w:rsidRPr="001A0E92">
        <w:rPr>
          <w:rFonts w:hint="eastAsia"/>
        </w:rPr>
        <w:tab/>
      </w:r>
      <w:r w:rsidR="00950597" w:rsidRPr="001A0E92">
        <w:t>地點：</w:t>
      </w:r>
      <w:r w:rsidR="00950597" w:rsidRPr="001A0E92">
        <w:t>Trnava</w:t>
      </w:r>
    </w:p>
    <w:p w:rsidR="00950597" w:rsidRPr="001A0E92" w:rsidRDefault="00181F63" w:rsidP="00181F63">
      <w:pPr>
        <w:pStyle w:val="12"/>
        <w:ind w:left="1652" w:hangingChars="100" w:hanging="236"/>
      </w:pPr>
      <w:r w:rsidRPr="001A0E92">
        <w:t>■</w:t>
      </w:r>
      <w:r w:rsidRPr="001A0E92">
        <w:rPr>
          <w:rFonts w:hint="eastAsia"/>
        </w:rPr>
        <w:tab/>
      </w:r>
      <w:r w:rsidR="00950597" w:rsidRPr="001A0E92">
        <w:t>員工數：</w:t>
      </w:r>
      <w:r w:rsidR="00950597" w:rsidRPr="001A0E92">
        <w:t>4,386</w:t>
      </w:r>
      <w:r w:rsidR="00950597" w:rsidRPr="001A0E92">
        <w:t>名</w:t>
      </w:r>
    </w:p>
    <w:p w:rsidR="00950597" w:rsidRPr="001A0E92" w:rsidRDefault="00181F63" w:rsidP="00181F63">
      <w:pPr>
        <w:pStyle w:val="12"/>
        <w:ind w:left="1652" w:hangingChars="100" w:hanging="236"/>
      </w:pPr>
      <w:r w:rsidRPr="001A0E92">
        <w:t>■</w:t>
      </w:r>
      <w:r w:rsidRPr="001A0E92">
        <w:rPr>
          <w:rFonts w:hint="eastAsia"/>
        </w:rPr>
        <w:tab/>
      </w:r>
      <w:r w:rsidR="00950597" w:rsidRPr="001A0E92">
        <w:t>車款：</w:t>
      </w:r>
      <w:r w:rsidR="00950597" w:rsidRPr="001A0E92">
        <w:t xml:space="preserve"> Citroen C3</w:t>
      </w:r>
      <w:r w:rsidR="00950597" w:rsidRPr="001A0E92">
        <w:t>、</w:t>
      </w:r>
      <w:r w:rsidR="00950597" w:rsidRPr="001A0E92">
        <w:t>Picasso Peugeot 208</w:t>
      </w:r>
    </w:p>
    <w:p w:rsidR="00950597" w:rsidRPr="001A0E92" w:rsidRDefault="00181F63" w:rsidP="00181F63">
      <w:pPr>
        <w:pStyle w:val="12"/>
        <w:ind w:left="1652" w:hangingChars="100" w:hanging="236"/>
      </w:pPr>
      <w:r w:rsidRPr="001A0E92">
        <w:t>■</w:t>
      </w:r>
      <w:r w:rsidRPr="001A0E92">
        <w:rPr>
          <w:rFonts w:hint="eastAsia"/>
        </w:rPr>
        <w:tab/>
      </w:r>
      <w:r w:rsidR="00950597" w:rsidRPr="001A0E92">
        <w:t>EV</w:t>
      </w:r>
      <w:r w:rsidR="00950597" w:rsidRPr="001A0E92">
        <w:t>車款</w:t>
      </w:r>
      <w:r w:rsidR="00950597" w:rsidRPr="001A0E92">
        <w:t>: Peugeot e-208</w:t>
      </w:r>
      <w:r w:rsidR="00950597" w:rsidRPr="001A0E92">
        <w:t>；</w:t>
      </w:r>
      <w:r w:rsidR="00950597" w:rsidRPr="001A0E92">
        <w:t>2023</w:t>
      </w:r>
      <w:r w:rsidR="00950597" w:rsidRPr="001A0E92">
        <w:t>年底前會增加另外</w:t>
      </w:r>
      <w:r w:rsidR="00950597" w:rsidRPr="001A0E92">
        <w:t>4</w:t>
      </w:r>
      <w:r w:rsidR="00950597" w:rsidRPr="001A0E92">
        <w:t>款。</w:t>
      </w:r>
    </w:p>
    <w:p w:rsidR="00950597" w:rsidRPr="001A0E92" w:rsidRDefault="00C85608" w:rsidP="00181F63">
      <w:pPr>
        <w:pStyle w:val="afb"/>
        <w:ind w:left="1416" w:hanging="472"/>
      </w:pPr>
      <w:r w:rsidRPr="001A0E92">
        <w:rPr>
          <w:rFonts w:hint="eastAsia"/>
        </w:rPr>
        <w:t>３、</w:t>
      </w:r>
      <w:r w:rsidR="00950597" w:rsidRPr="001A0E92">
        <w:t>KIA Motors Slovakia</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成立年份：</w:t>
      </w:r>
      <w:r w:rsidR="00950597" w:rsidRPr="001A0E92">
        <w:t>2006</w:t>
      </w:r>
      <w:r w:rsidR="00950597" w:rsidRPr="001A0E92">
        <w:t>年</w:t>
      </w:r>
    </w:p>
    <w:p w:rsidR="00950597" w:rsidRPr="001A0E92" w:rsidRDefault="00181F63" w:rsidP="00181F63">
      <w:pPr>
        <w:pStyle w:val="12"/>
        <w:ind w:left="1652" w:hangingChars="100" w:hanging="236"/>
      </w:pPr>
      <w:r w:rsidRPr="001A0E92">
        <w:t>■</w:t>
      </w:r>
      <w:r w:rsidRPr="001A0E92">
        <w:rPr>
          <w:rFonts w:hint="eastAsia"/>
        </w:rPr>
        <w:tab/>
      </w:r>
      <w:r w:rsidR="00950597" w:rsidRPr="001A0E92">
        <w:t>年產量</w:t>
      </w:r>
      <w:r w:rsidR="004F0E9D" w:rsidRPr="001A0E92">
        <w:t>（</w:t>
      </w:r>
      <w:r w:rsidR="00950597" w:rsidRPr="001A0E92">
        <w:t>2021</w:t>
      </w:r>
      <w:r w:rsidR="00950597" w:rsidRPr="001A0E92">
        <w:t>年</w:t>
      </w:r>
      <w:r w:rsidR="004F0E9D" w:rsidRPr="001A0E92">
        <w:t>）</w:t>
      </w:r>
      <w:r w:rsidR="00950597" w:rsidRPr="001A0E92">
        <w:t>：</w:t>
      </w:r>
      <w:r w:rsidR="00950597" w:rsidRPr="001A0E92">
        <w:t>31</w:t>
      </w:r>
      <w:r w:rsidR="00950597" w:rsidRPr="001A0E92">
        <w:t>萬；其中</w:t>
      </w:r>
      <w:r w:rsidR="00950597" w:rsidRPr="001A0E92">
        <w:t>5</w:t>
      </w:r>
      <w:r w:rsidR="00950597" w:rsidRPr="001A0E92">
        <w:t>萬輛為電動車</w:t>
      </w:r>
      <w:r w:rsidR="004F0E9D" w:rsidRPr="001A0E92">
        <w:t>（</w:t>
      </w:r>
      <w:r w:rsidR="00950597" w:rsidRPr="001A0E92">
        <w:t>BEV</w:t>
      </w:r>
      <w:r w:rsidR="00950597" w:rsidRPr="001A0E92">
        <w:t>或</w:t>
      </w:r>
      <w:r w:rsidR="00950597" w:rsidRPr="001A0E92">
        <w:t>Hybrid</w:t>
      </w:r>
      <w:r w:rsidR="004F0E9D" w:rsidRPr="001A0E92">
        <w:t>）</w:t>
      </w:r>
      <w:r w:rsidR="00950597" w:rsidRPr="001A0E92">
        <w:t>，占比約</w:t>
      </w:r>
      <w:r w:rsidR="00950597" w:rsidRPr="001A0E92">
        <w:t>16%</w:t>
      </w:r>
      <w:r w:rsidR="00950597" w:rsidRPr="001A0E92">
        <w:t>。</w:t>
      </w:r>
    </w:p>
    <w:p w:rsidR="00950597" w:rsidRPr="001A0E92" w:rsidRDefault="00181F63" w:rsidP="00181F63">
      <w:pPr>
        <w:pStyle w:val="12"/>
        <w:ind w:left="1652" w:hangingChars="100" w:hanging="236"/>
      </w:pPr>
      <w:r w:rsidRPr="001A0E92">
        <w:t>■</w:t>
      </w:r>
      <w:r w:rsidRPr="001A0E92">
        <w:rPr>
          <w:rFonts w:hint="eastAsia"/>
        </w:rPr>
        <w:tab/>
      </w:r>
      <w:r w:rsidR="00950597" w:rsidRPr="001A0E92">
        <w:t>營業額：</w:t>
      </w:r>
      <w:r w:rsidR="00950597" w:rsidRPr="001A0E92">
        <w:t>46</w:t>
      </w:r>
      <w:r w:rsidR="00950597" w:rsidRPr="001A0E92">
        <w:t>億歐元</w:t>
      </w:r>
    </w:p>
    <w:p w:rsidR="00950597" w:rsidRPr="001A0E92" w:rsidRDefault="00181F63" w:rsidP="00181F63">
      <w:pPr>
        <w:pStyle w:val="12"/>
        <w:ind w:left="1652" w:hangingChars="100" w:hanging="236"/>
      </w:pPr>
      <w:r w:rsidRPr="001A0E92">
        <w:t>■</w:t>
      </w:r>
      <w:r w:rsidRPr="001A0E92">
        <w:rPr>
          <w:rFonts w:hint="eastAsia"/>
        </w:rPr>
        <w:tab/>
      </w:r>
      <w:r w:rsidR="00950597" w:rsidRPr="001A0E92">
        <w:t>地點：</w:t>
      </w:r>
      <w:r w:rsidR="00950597" w:rsidRPr="001A0E92">
        <w:t>Zilina</w:t>
      </w:r>
    </w:p>
    <w:p w:rsidR="00950597" w:rsidRPr="001A0E92" w:rsidRDefault="00181F63" w:rsidP="00181F63">
      <w:pPr>
        <w:pStyle w:val="12"/>
        <w:ind w:left="1652" w:hangingChars="100" w:hanging="236"/>
      </w:pPr>
      <w:r w:rsidRPr="001A0E92">
        <w:t>■</w:t>
      </w:r>
      <w:r w:rsidRPr="001A0E92">
        <w:rPr>
          <w:rFonts w:hint="eastAsia"/>
        </w:rPr>
        <w:tab/>
      </w:r>
      <w:r w:rsidR="00950597" w:rsidRPr="001A0E92">
        <w:t>員工數：</w:t>
      </w:r>
      <w:r w:rsidR="00950597" w:rsidRPr="001A0E92">
        <w:t>3,469</w:t>
      </w:r>
      <w:r w:rsidR="00950597" w:rsidRPr="001A0E92">
        <w:t>名</w:t>
      </w:r>
    </w:p>
    <w:p w:rsidR="00950597" w:rsidRPr="001A0E92" w:rsidRDefault="00181F63" w:rsidP="00181F63">
      <w:pPr>
        <w:pStyle w:val="12"/>
        <w:ind w:left="1652" w:hangingChars="100" w:hanging="236"/>
      </w:pPr>
      <w:r w:rsidRPr="001A0E92">
        <w:t>■</w:t>
      </w:r>
      <w:r w:rsidRPr="001A0E92">
        <w:rPr>
          <w:rFonts w:hint="eastAsia"/>
        </w:rPr>
        <w:tab/>
      </w:r>
      <w:r w:rsidR="00950597" w:rsidRPr="001A0E92">
        <w:t>車款：</w:t>
      </w:r>
      <w:r w:rsidR="00950597" w:rsidRPr="001A0E92">
        <w:t>Kia ceed</w:t>
      </w:r>
      <w:r w:rsidR="00950597" w:rsidRPr="001A0E92">
        <w:t>、</w:t>
      </w:r>
      <w:r w:rsidR="00950597" w:rsidRPr="001A0E92">
        <w:t>Kiacee’d Sportswagon</w:t>
      </w:r>
      <w:r w:rsidR="00950597" w:rsidRPr="001A0E92">
        <w:t>、</w:t>
      </w:r>
      <w:r w:rsidR="00950597" w:rsidRPr="001A0E92">
        <w:t>Kia procee’d</w:t>
      </w:r>
      <w:r w:rsidR="00950597" w:rsidRPr="001A0E92">
        <w:t>、</w:t>
      </w:r>
      <w:r w:rsidR="00950597" w:rsidRPr="001A0E92">
        <w:t>GT</w:t>
      </w:r>
      <w:r w:rsidR="00950597" w:rsidRPr="001A0E92">
        <w:t>、</w:t>
      </w:r>
      <w:r w:rsidR="00950597" w:rsidRPr="001A0E92">
        <w:t>Kia Sportage</w:t>
      </w:r>
      <w:r w:rsidR="00950597" w:rsidRPr="001A0E92">
        <w:t>、</w:t>
      </w:r>
      <w:r w:rsidR="00950597" w:rsidRPr="001A0E92">
        <w:t>Kia Venga</w:t>
      </w:r>
    </w:p>
    <w:p w:rsidR="00950597" w:rsidRPr="001A0E92" w:rsidRDefault="00181F63" w:rsidP="00181F63">
      <w:pPr>
        <w:pStyle w:val="12"/>
        <w:ind w:left="1652" w:hangingChars="100" w:hanging="236"/>
      </w:pPr>
      <w:r w:rsidRPr="001A0E92">
        <w:t>■</w:t>
      </w:r>
      <w:r w:rsidRPr="001A0E92">
        <w:rPr>
          <w:rFonts w:hint="eastAsia"/>
        </w:rPr>
        <w:tab/>
      </w:r>
      <w:r w:rsidR="00950597" w:rsidRPr="001A0E92">
        <w:t>EV</w:t>
      </w:r>
      <w:r w:rsidR="00950597" w:rsidRPr="001A0E92">
        <w:t>車款</w:t>
      </w:r>
      <w:r w:rsidRPr="001A0E92">
        <w:rPr>
          <w:rFonts w:hint="eastAsia"/>
        </w:rPr>
        <w:t>：</w:t>
      </w:r>
      <w:r w:rsidR="00950597" w:rsidRPr="001A0E92">
        <w:t>Sportswagon PHEV, XCeed PHEV, Sportage PHEV</w:t>
      </w:r>
    </w:p>
    <w:p w:rsidR="00950597" w:rsidRPr="001A0E92" w:rsidRDefault="00C85608" w:rsidP="00181F63">
      <w:pPr>
        <w:pStyle w:val="afb"/>
        <w:ind w:left="1416" w:hanging="472"/>
      </w:pPr>
      <w:r w:rsidRPr="001A0E92">
        <w:t>４</w:t>
      </w:r>
      <w:r w:rsidRPr="001A0E92">
        <w:rPr>
          <w:rFonts w:hint="eastAsia"/>
        </w:rPr>
        <w:t>、</w:t>
      </w:r>
      <w:r w:rsidR="00950597" w:rsidRPr="001A0E92">
        <w:t>Jaguar Land Rover Slovkaia</w:t>
      </w:r>
    </w:p>
    <w:p w:rsidR="00950597" w:rsidRPr="001A0E92" w:rsidRDefault="00181F63" w:rsidP="00FF29F0">
      <w:pPr>
        <w:pStyle w:val="12"/>
        <w:pBdr>
          <w:left w:val="none" w:sz="0" w:space="8" w:color="000000"/>
        </w:pBdr>
        <w:ind w:left="1652" w:hangingChars="100" w:hanging="236"/>
      </w:pPr>
      <w:r w:rsidRPr="001A0E92">
        <w:rPr>
          <w:lang w:val="en-US"/>
        </w:rPr>
        <w:t>■</w:t>
      </w:r>
      <w:r w:rsidRPr="001A0E92">
        <w:rPr>
          <w:rFonts w:hint="eastAsia"/>
          <w:lang w:val="en-US"/>
        </w:rPr>
        <w:tab/>
      </w:r>
      <w:r w:rsidR="00950597" w:rsidRPr="001A0E92">
        <w:t>成立年份：</w:t>
      </w:r>
      <w:r w:rsidR="00950597" w:rsidRPr="001A0E92">
        <w:t>2018</w:t>
      </w:r>
      <w:r w:rsidR="00950597" w:rsidRPr="001A0E92">
        <w:t>年</w:t>
      </w:r>
    </w:p>
    <w:p w:rsidR="00950597" w:rsidRPr="001A0E92" w:rsidRDefault="00181F63" w:rsidP="00FF29F0">
      <w:pPr>
        <w:pStyle w:val="12"/>
        <w:pBdr>
          <w:left w:val="none" w:sz="0" w:space="8" w:color="000000"/>
        </w:pBdr>
        <w:ind w:left="1652" w:hangingChars="100" w:hanging="236"/>
      </w:pPr>
      <w:r w:rsidRPr="001A0E92">
        <w:rPr>
          <w:lang w:val="en-US"/>
        </w:rPr>
        <w:t>■</w:t>
      </w:r>
      <w:r w:rsidRPr="001A0E92">
        <w:rPr>
          <w:rFonts w:hint="eastAsia"/>
          <w:lang w:val="en-US"/>
        </w:rPr>
        <w:tab/>
      </w:r>
      <w:r w:rsidR="00950597" w:rsidRPr="001A0E92">
        <w:t>產能：</w:t>
      </w:r>
      <w:r w:rsidR="00950597" w:rsidRPr="001A0E92">
        <w:t>15</w:t>
      </w:r>
      <w:r w:rsidR="00950597" w:rsidRPr="001A0E92">
        <w:t>萬輛</w:t>
      </w:r>
    </w:p>
    <w:p w:rsidR="00950597" w:rsidRPr="001A0E92" w:rsidRDefault="00181F63" w:rsidP="00FF29F0">
      <w:pPr>
        <w:pStyle w:val="12"/>
        <w:pBdr>
          <w:left w:val="none" w:sz="0" w:space="8" w:color="000000"/>
        </w:pBdr>
        <w:ind w:left="1652" w:hangingChars="100" w:hanging="236"/>
      </w:pPr>
      <w:r w:rsidRPr="001A0E92">
        <w:rPr>
          <w:lang w:val="en-US"/>
        </w:rPr>
        <w:t>■</w:t>
      </w:r>
      <w:r w:rsidRPr="001A0E92">
        <w:rPr>
          <w:rFonts w:hint="eastAsia"/>
          <w:lang w:val="en-US"/>
        </w:rPr>
        <w:tab/>
      </w:r>
      <w:r w:rsidR="00950597" w:rsidRPr="001A0E92">
        <w:t>員工數：</w:t>
      </w:r>
      <w:r w:rsidR="00950597" w:rsidRPr="001A0E92">
        <w:t>3,393</w:t>
      </w:r>
      <w:r w:rsidR="00950597" w:rsidRPr="001A0E92">
        <w:t>人</w:t>
      </w:r>
    </w:p>
    <w:p w:rsidR="00950597" w:rsidRPr="001A0E92" w:rsidRDefault="00181F63" w:rsidP="00FF29F0">
      <w:pPr>
        <w:pStyle w:val="12"/>
        <w:pBdr>
          <w:left w:val="none" w:sz="0" w:space="8" w:color="000000"/>
        </w:pBdr>
        <w:ind w:left="1652" w:hangingChars="100" w:hanging="236"/>
      </w:pPr>
      <w:r w:rsidRPr="001A0E92">
        <w:rPr>
          <w:lang w:val="en-US"/>
        </w:rPr>
        <w:t>■</w:t>
      </w:r>
      <w:r w:rsidRPr="001A0E92">
        <w:rPr>
          <w:rFonts w:hint="eastAsia"/>
          <w:lang w:val="en-US"/>
        </w:rPr>
        <w:tab/>
      </w:r>
      <w:r w:rsidR="00950597" w:rsidRPr="001A0E92">
        <w:t>地點：</w:t>
      </w:r>
      <w:r w:rsidR="00950597" w:rsidRPr="001A0E92">
        <w:t>Nitra</w:t>
      </w:r>
    </w:p>
    <w:p w:rsidR="00FF29F0" w:rsidRPr="001A0E92" w:rsidRDefault="00FF29F0" w:rsidP="00FF29F0">
      <w:pPr>
        <w:pStyle w:val="12"/>
        <w:pBdr>
          <w:left w:val="none" w:sz="0" w:space="8" w:color="000000"/>
        </w:pBdr>
        <w:ind w:left="1652" w:hangingChars="100" w:hanging="236"/>
        <w:rPr>
          <w:lang w:val="en-US"/>
        </w:rPr>
      </w:pPr>
    </w:p>
    <w:p w:rsidR="00950597" w:rsidRPr="001A0E92" w:rsidRDefault="00181F63" w:rsidP="00FF29F0">
      <w:pPr>
        <w:pStyle w:val="12"/>
        <w:pBdr>
          <w:left w:val="none" w:sz="0" w:space="8" w:color="000000"/>
        </w:pBdr>
        <w:ind w:left="1652" w:hangingChars="100" w:hanging="236"/>
      </w:pPr>
      <w:r w:rsidRPr="001A0E92">
        <w:rPr>
          <w:lang w:val="en-US"/>
        </w:rPr>
        <w:t>■</w:t>
      </w:r>
      <w:r w:rsidRPr="001A0E92">
        <w:rPr>
          <w:rFonts w:hint="eastAsia"/>
          <w:lang w:val="en-US"/>
        </w:rPr>
        <w:tab/>
      </w:r>
      <w:r w:rsidR="00950597" w:rsidRPr="001A0E92">
        <w:t>車款：</w:t>
      </w:r>
      <w:r w:rsidR="00950597" w:rsidRPr="001A0E92">
        <w:t>Land Rover Discovery, Land Rover, Defender 90, Land Rover Defender 110, Land Rover Defender</w:t>
      </w:r>
    </w:p>
    <w:p w:rsidR="00950597" w:rsidRPr="001A0E92" w:rsidRDefault="00181F63" w:rsidP="00FF29F0">
      <w:pPr>
        <w:pStyle w:val="12"/>
        <w:pBdr>
          <w:left w:val="none" w:sz="0" w:space="8" w:color="000000"/>
        </w:pBdr>
        <w:ind w:left="1652" w:hangingChars="100" w:hanging="236"/>
      </w:pPr>
      <w:r w:rsidRPr="001A0E92">
        <w:rPr>
          <w:lang w:val="en-US"/>
        </w:rPr>
        <w:t>■</w:t>
      </w:r>
      <w:r w:rsidRPr="001A0E92">
        <w:rPr>
          <w:rFonts w:hint="eastAsia"/>
          <w:lang w:val="en-US"/>
        </w:rPr>
        <w:tab/>
      </w:r>
      <w:r w:rsidR="00950597" w:rsidRPr="001A0E92">
        <w:t>EV</w:t>
      </w:r>
      <w:r w:rsidR="00950597" w:rsidRPr="001A0E92">
        <w:t>車款</w:t>
      </w:r>
      <w:r w:rsidRPr="001A0E92">
        <w:rPr>
          <w:rFonts w:hint="eastAsia"/>
        </w:rPr>
        <w:t>：</w:t>
      </w:r>
      <w:r w:rsidR="00950597" w:rsidRPr="001A0E92">
        <w:t>Defender PHEV</w:t>
      </w:r>
    </w:p>
    <w:p w:rsidR="00950597" w:rsidRPr="001A0E92" w:rsidRDefault="00C85608" w:rsidP="00181F63">
      <w:pPr>
        <w:pStyle w:val="afb"/>
        <w:ind w:left="1416" w:hanging="472"/>
      </w:pPr>
      <w:r w:rsidRPr="001A0E92">
        <w:rPr>
          <w:rFonts w:hint="eastAsia"/>
        </w:rPr>
        <w:t>５、</w:t>
      </w:r>
      <w:r w:rsidR="00950597" w:rsidRPr="001A0E92">
        <w:t>Volvo</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預計開始量產年份</w:t>
      </w:r>
      <w:r w:rsidRPr="001A0E92">
        <w:rPr>
          <w:rFonts w:hint="eastAsia"/>
        </w:rPr>
        <w:t>：</w:t>
      </w:r>
      <w:r w:rsidR="00950597" w:rsidRPr="001A0E92">
        <w:t>2027</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預計產量</w:t>
      </w:r>
      <w:r w:rsidRPr="001A0E92">
        <w:rPr>
          <w:rFonts w:hint="eastAsia"/>
        </w:rPr>
        <w:t>：</w:t>
      </w:r>
      <w:r w:rsidR="00950597" w:rsidRPr="001A0E92">
        <w:t>25</w:t>
      </w:r>
      <w:r w:rsidR="00950597" w:rsidRPr="001A0E92">
        <w:t>萬輛電動車。產能全開可年產</w:t>
      </w:r>
      <w:r w:rsidR="00950597" w:rsidRPr="001A0E92">
        <w:t>50</w:t>
      </w:r>
      <w:r w:rsidR="00950597" w:rsidRPr="001A0E92">
        <w:t>萬輛。</w:t>
      </w:r>
    </w:p>
    <w:p w:rsidR="00950597" w:rsidRPr="001A0E92" w:rsidRDefault="00181F63" w:rsidP="00181F63">
      <w:pPr>
        <w:pStyle w:val="12"/>
        <w:ind w:left="1652" w:hangingChars="100" w:hanging="236"/>
      </w:pPr>
      <w:r w:rsidRPr="001A0E92">
        <w:rPr>
          <w:lang w:val="en-US"/>
        </w:rPr>
        <w:t>■</w:t>
      </w:r>
      <w:r w:rsidRPr="001A0E92">
        <w:rPr>
          <w:rFonts w:hint="eastAsia"/>
          <w:lang w:val="en-US"/>
        </w:rPr>
        <w:tab/>
      </w:r>
      <w:r w:rsidR="00950597" w:rsidRPr="001A0E92">
        <w:t>地點</w:t>
      </w:r>
      <w:r w:rsidRPr="001A0E92">
        <w:rPr>
          <w:rFonts w:hint="eastAsia"/>
        </w:rPr>
        <w:t>：</w:t>
      </w:r>
      <w:r w:rsidR="00950597" w:rsidRPr="001A0E92">
        <w:t>東部</w:t>
      </w:r>
      <w:r w:rsidR="00950597" w:rsidRPr="001A0E92">
        <w:t>KOSICE</w:t>
      </w:r>
      <w:r w:rsidR="00950597" w:rsidRPr="001A0E92">
        <w:t>省</w:t>
      </w:r>
    </w:p>
    <w:p w:rsidR="00950597" w:rsidRPr="001A0E92" w:rsidRDefault="00950597" w:rsidP="00181F63">
      <w:pPr>
        <w:pStyle w:val="af9"/>
        <w:ind w:left="944" w:firstLine="472"/>
      </w:pPr>
      <w:r w:rsidRPr="001A0E92">
        <w:t>斯國</w:t>
      </w:r>
      <w:r w:rsidRPr="001A0E92">
        <w:t>2023</w:t>
      </w:r>
      <w:r w:rsidRPr="001A0E92">
        <w:t>年汽車生產量前景：根據斯國</w:t>
      </w:r>
      <w:r w:rsidRPr="001A0E92">
        <w:t>VÚB</w:t>
      </w:r>
      <w:r w:rsidRPr="001A0E92">
        <w:t>銀行</w:t>
      </w:r>
      <w:r w:rsidRPr="001A0E92">
        <w:t>2023</w:t>
      </w:r>
      <w:r w:rsidRPr="001A0E92">
        <w:t>年</w:t>
      </w:r>
      <w:r w:rsidRPr="001A0E92">
        <w:t>3</w:t>
      </w:r>
      <w:r w:rsidRPr="001A0E92">
        <w:t>月發布的分析報告指出，歐洲品牌車廠近年來面臨諸多考驗，先是</w:t>
      </w:r>
      <w:r w:rsidR="005A5E4E" w:rsidRPr="001A0E92">
        <w:t>「嚴重特殊傳染性肺炎」（</w:t>
      </w:r>
      <w:r w:rsidR="005A5E4E" w:rsidRPr="001A0E92">
        <w:t>COVID-19</w:t>
      </w:r>
      <w:r w:rsidR="005A5E4E" w:rsidRPr="001A0E92">
        <w:t>）</w:t>
      </w:r>
      <w:r w:rsidRPr="001A0E92">
        <w:t>疫情重創消費、晶片及其他零組件供應鏈短缺、烏戰造成電纜束短缺及能源高漲等問題、眼前則是性價比越來越好的</w:t>
      </w:r>
      <w:r w:rsidR="005A5E4E" w:rsidRPr="001A0E92">
        <w:t>中國大陸</w:t>
      </w:r>
      <w:r w:rsidRPr="001A0E92">
        <w:t>進口車的強烈攻勢，此將為歐洲造車重鎮的中東歐地區帶來相當風險。在</w:t>
      </w:r>
      <w:r w:rsidR="005A5E4E" w:rsidRPr="001A0E92">
        <w:t>中國大陸</w:t>
      </w:r>
      <w:r w:rsidRPr="001A0E92">
        <w:t>進口車的競爭及部分車廠準備更改產線俾生產新車型之因素下，預測斯國</w:t>
      </w:r>
      <w:r w:rsidRPr="001A0E92">
        <w:t>2023</w:t>
      </w:r>
      <w:r w:rsidRPr="001A0E92">
        <w:t>年汽車產量可能會大幅下降達</w:t>
      </w:r>
      <w:r w:rsidRPr="001A0E92">
        <w:t>15%</w:t>
      </w:r>
      <w:r w:rsidRPr="001A0E92">
        <w:t>。</w:t>
      </w:r>
    </w:p>
    <w:p w:rsidR="00950597" w:rsidRPr="001A0E92" w:rsidRDefault="00950597" w:rsidP="00181F63">
      <w:pPr>
        <w:pStyle w:val="af9"/>
        <w:ind w:left="944" w:firstLine="472"/>
      </w:pPr>
      <w:r w:rsidRPr="001A0E92">
        <w:t>斯國汽車供應鏈概況</w:t>
      </w:r>
      <w:r w:rsidR="004F0E9D" w:rsidRPr="001A0E92">
        <w:rPr>
          <w:rFonts w:hint="eastAsia"/>
        </w:rPr>
        <w:t>（</w:t>
      </w:r>
      <w:r w:rsidRPr="001A0E92">
        <w:t>含電動車及鋰電池</w:t>
      </w:r>
      <w:r w:rsidR="004F0E9D" w:rsidRPr="001A0E92">
        <w:rPr>
          <w:rFonts w:hint="eastAsia"/>
        </w:rPr>
        <w:t>）</w:t>
      </w:r>
      <w:r w:rsidRPr="001A0E92">
        <w:t>：</w:t>
      </w:r>
    </w:p>
    <w:p w:rsidR="00950597" w:rsidRPr="001A0E92" w:rsidRDefault="00C85608" w:rsidP="00181F63">
      <w:pPr>
        <w:pStyle w:val="afb"/>
        <w:ind w:left="1416" w:hanging="472"/>
      </w:pPr>
      <w:r w:rsidRPr="001A0E92">
        <w:t>１</w:t>
      </w:r>
      <w:r w:rsidRPr="001A0E92">
        <w:rPr>
          <w:rFonts w:hint="eastAsia"/>
        </w:rPr>
        <w:t>、</w:t>
      </w:r>
      <w:r w:rsidR="00950597" w:rsidRPr="001A0E92">
        <w:t>斯國以上述</w:t>
      </w:r>
      <w:r w:rsidR="00950597" w:rsidRPr="001A0E92">
        <w:t>4</w:t>
      </w:r>
      <w:r w:rsidR="00950597" w:rsidRPr="001A0E92">
        <w:t>家外商</w:t>
      </w:r>
      <w:r w:rsidR="00950597" w:rsidRPr="001A0E92">
        <w:t>OEM</w:t>
      </w:r>
      <w:r w:rsidR="00950597" w:rsidRPr="001A0E92">
        <w:t>組裝廠為核心，已發展出包含</w:t>
      </w:r>
      <w:r w:rsidR="00950597" w:rsidRPr="001A0E92">
        <w:t>350</w:t>
      </w:r>
      <w:r w:rsidR="00950597" w:rsidRPr="001A0E92">
        <w:t>家以上的供應鏈</w:t>
      </w:r>
      <w:r w:rsidR="004F0E9D" w:rsidRPr="001A0E92">
        <w:rPr>
          <w:rFonts w:hint="eastAsia"/>
        </w:rPr>
        <w:t>（</w:t>
      </w:r>
      <w:r w:rsidR="00950597" w:rsidRPr="001A0E92">
        <w:t>第一階供應商占</w:t>
      </w:r>
      <w:r w:rsidR="00950597" w:rsidRPr="001A0E92">
        <w:t>28.5%</w:t>
      </w:r>
      <w:r w:rsidR="00950597" w:rsidRPr="001A0E92">
        <w:t>、第二階占</w:t>
      </w:r>
      <w:r w:rsidR="00950597" w:rsidRPr="001A0E92">
        <w:t>28%</w:t>
      </w:r>
      <w:r w:rsidR="00950597" w:rsidRPr="001A0E92">
        <w:t>、第三階占</w:t>
      </w:r>
      <w:r w:rsidR="00950597" w:rsidRPr="001A0E92">
        <w:t>43.5%</w:t>
      </w:r>
      <w:r w:rsidR="004F0E9D" w:rsidRPr="001A0E92">
        <w:rPr>
          <w:rFonts w:hint="eastAsia"/>
        </w:rPr>
        <w:t>）</w:t>
      </w:r>
      <w:r w:rsidR="00950597" w:rsidRPr="001A0E92">
        <w:t>，第一階供應商多半為外商，第二、三階供應商主要為斯國業者。其零配件亦出口至周圍歐洲車廠及其他海外地點。由於</w:t>
      </w:r>
      <w:r w:rsidR="00950597" w:rsidRPr="001A0E92">
        <w:t>OEM</w:t>
      </w:r>
      <w:r w:rsidR="00950597" w:rsidRPr="001A0E92">
        <w:t>組裝廠多受外商母廠指揮，較難有採購決策權。另迎接電動車時代的來臨，在斯國生產之電動車或</w:t>
      </w:r>
      <w:r w:rsidR="00950597" w:rsidRPr="001A0E92">
        <w:t>hybrid</w:t>
      </w:r>
      <w:r w:rsidR="00950597" w:rsidRPr="001A0E92">
        <w:t>電動車約</w:t>
      </w:r>
      <w:r w:rsidR="00950597" w:rsidRPr="001A0E92">
        <w:t>11</w:t>
      </w:r>
      <w:r w:rsidR="00950597" w:rsidRPr="001A0E92">
        <w:t>款。傳統車廠轉型生產電動車亦由外商組裝廠主導。</w:t>
      </w:r>
    </w:p>
    <w:p w:rsidR="00950597" w:rsidRPr="001A0E92" w:rsidRDefault="00C85608" w:rsidP="00181F63">
      <w:pPr>
        <w:pStyle w:val="afb"/>
        <w:ind w:left="1416" w:hanging="472"/>
      </w:pPr>
      <w:r w:rsidRPr="001A0E92">
        <w:t>２</w:t>
      </w:r>
      <w:r w:rsidRPr="001A0E92">
        <w:rPr>
          <w:rFonts w:hint="eastAsia"/>
        </w:rPr>
        <w:t>、</w:t>
      </w:r>
      <w:r w:rsidR="00950597" w:rsidRPr="001A0E92">
        <w:t>汽車產業為斯國的產業龍頭，其供應商另可提供廣泛行業所需，如塑料及化學工業、電子工程、機械工程、複合材料、鋼鐵工業、鋁業、紡織業及設計工程等。</w:t>
      </w:r>
    </w:p>
    <w:p w:rsidR="00950597" w:rsidRPr="001A0E92" w:rsidRDefault="00C85608" w:rsidP="00181F63">
      <w:pPr>
        <w:pStyle w:val="afb"/>
        <w:ind w:left="1416" w:hanging="472"/>
      </w:pPr>
      <w:r w:rsidRPr="001A0E92">
        <w:t>３</w:t>
      </w:r>
      <w:r w:rsidRPr="001A0E92">
        <w:rPr>
          <w:rFonts w:hint="eastAsia"/>
        </w:rPr>
        <w:t>、</w:t>
      </w:r>
      <w:r w:rsidR="00950597" w:rsidRPr="001A0E92">
        <w:t>斯國朝研發及創新發展，由於斯國產業需求，有越來越多的外商重新配置並在斯國建立研發部門，俾節省成本，並有助於公司靈活地回應下游客戶需求。研發中心案例包括：</w:t>
      </w:r>
      <w:r w:rsidR="00950597" w:rsidRPr="001A0E92">
        <w:t>ADIENT</w:t>
      </w:r>
      <w:r w:rsidR="004F0E9D" w:rsidRPr="001A0E92">
        <w:rPr>
          <w:rFonts w:hint="eastAsia"/>
        </w:rPr>
        <w:t>（</w:t>
      </w:r>
      <w:r w:rsidR="00950597" w:rsidRPr="001A0E92">
        <w:t>座椅系統</w:t>
      </w:r>
      <w:r w:rsidR="004F0E9D" w:rsidRPr="001A0E92">
        <w:rPr>
          <w:rFonts w:hint="eastAsia"/>
        </w:rPr>
        <w:t>）</w:t>
      </w:r>
      <w:r w:rsidR="00950597" w:rsidRPr="001A0E92">
        <w:t>、</w:t>
      </w:r>
      <w:r w:rsidR="00950597" w:rsidRPr="001A0E92">
        <w:t>LEONI</w:t>
      </w:r>
      <w:r w:rsidR="004F0E9D" w:rsidRPr="001A0E92">
        <w:rPr>
          <w:rFonts w:hint="eastAsia"/>
        </w:rPr>
        <w:t>（</w:t>
      </w:r>
      <w:r w:rsidR="00950597" w:rsidRPr="001A0E92">
        <w:t>汽車電纜系統</w:t>
      </w:r>
      <w:r w:rsidR="004F0E9D" w:rsidRPr="001A0E92">
        <w:rPr>
          <w:rFonts w:hint="eastAsia"/>
        </w:rPr>
        <w:t>）</w:t>
      </w:r>
      <w:r w:rsidR="00950597" w:rsidRPr="001A0E92">
        <w:t>、</w:t>
      </w:r>
      <w:r w:rsidR="00950597" w:rsidRPr="001A0E92">
        <w:t>YANFENG</w:t>
      </w:r>
      <w:r w:rsidR="004F0E9D" w:rsidRPr="001A0E92">
        <w:rPr>
          <w:rFonts w:hint="eastAsia"/>
        </w:rPr>
        <w:t>（</w:t>
      </w:r>
      <w:r w:rsidR="00950597" w:rsidRPr="001A0E92">
        <w:t>內部設計工程中心</w:t>
      </w:r>
      <w:r w:rsidR="004F0E9D" w:rsidRPr="001A0E92">
        <w:rPr>
          <w:rFonts w:hint="eastAsia"/>
        </w:rPr>
        <w:t>）</w:t>
      </w:r>
      <w:r w:rsidR="00950597" w:rsidRPr="001A0E92">
        <w:t>、</w:t>
      </w:r>
      <w:r w:rsidR="00950597" w:rsidRPr="001A0E92">
        <w:t>ZKW SLOVAKIA</w:t>
      </w:r>
      <w:r w:rsidR="004F0E9D" w:rsidRPr="001A0E92">
        <w:rPr>
          <w:rFonts w:hint="eastAsia"/>
        </w:rPr>
        <w:t>（</w:t>
      </w:r>
      <w:r w:rsidR="00950597" w:rsidRPr="001A0E92">
        <w:t>照明系統創新</w:t>
      </w:r>
      <w:r w:rsidR="004F0E9D" w:rsidRPr="001A0E92">
        <w:rPr>
          <w:rFonts w:hint="eastAsia"/>
        </w:rPr>
        <w:t>）</w:t>
      </w:r>
      <w:r w:rsidR="00950597" w:rsidRPr="001A0E92">
        <w:t>、</w:t>
      </w:r>
      <w:r w:rsidR="00950597" w:rsidRPr="001A0E92">
        <w:t>CONTINENTAL AUTOMOTIVE</w:t>
      </w:r>
      <w:r w:rsidR="004F0E9D" w:rsidRPr="001A0E92">
        <w:rPr>
          <w:rFonts w:hint="eastAsia"/>
        </w:rPr>
        <w:t>（</w:t>
      </w:r>
      <w:r w:rsidR="00950597" w:rsidRPr="001A0E92">
        <w:t>煞車系統</w:t>
      </w:r>
      <w:r w:rsidR="004F0E9D" w:rsidRPr="001A0E92">
        <w:rPr>
          <w:rFonts w:hint="eastAsia"/>
        </w:rPr>
        <w:t>）</w:t>
      </w:r>
      <w:r w:rsidR="00950597" w:rsidRPr="001A0E92">
        <w:t>、</w:t>
      </w:r>
      <w:r w:rsidR="00950597" w:rsidRPr="001A0E92">
        <w:t>INA SCHAEFFLER</w:t>
      </w:r>
      <w:r w:rsidR="004F0E9D" w:rsidRPr="001A0E92">
        <w:rPr>
          <w:rFonts w:hint="eastAsia"/>
        </w:rPr>
        <w:t>（</w:t>
      </w:r>
      <w:r w:rsidR="00950597" w:rsidRPr="001A0E92">
        <w:t>滾動軸承及滾珠軸承開發</w:t>
      </w:r>
      <w:r w:rsidR="004F0E9D" w:rsidRPr="001A0E92">
        <w:rPr>
          <w:rFonts w:hint="eastAsia"/>
        </w:rPr>
        <w:t>）</w:t>
      </w:r>
      <w:r w:rsidR="00950597" w:rsidRPr="001A0E92">
        <w:t>。</w:t>
      </w:r>
    </w:p>
    <w:p w:rsidR="00950597" w:rsidRPr="001A0E92" w:rsidRDefault="00C85608" w:rsidP="00181F63">
      <w:pPr>
        <w:pStyle w:val="afb"/>
        <w:ind w:left="1416" w:hanging="472"/>
      </w:pPr>
      <w:r w:rsidRPr="001A0E92">
        <w:t>４</w:t>
      </w:r>
      <w:r w:rsidRPr="001A0E92">
        <w:rPr>
          <w:rFonts w:hint="eastAsia"/>
        </w:rPr>
        <w:t>、</w:t>
      </w:r>
      <w:r w:rsidR="00950597" w:rsidRPr="001A0E92">
        <w:t>電動車市場：</w:t>
      </w:r>
    </w:p>
    <w:p w:rsidR="00950597" w:rsidRPr="001A0E92" w:rsidRDefault="004F0E9D" w:rsidP="00181F63">
      <w:pPr>
        <w:pStyle w:val="12"/>
        <w:ind w:left="2006" w:hanging="590"/>
      </w:pPr>
      <w:r w:rsidRPr="001A0E92">
        <w:rPr>
          <w:rFonts w:hint="eastAsia"/>
        </w:rPr>
        <w:t>（</w:t>
      </w:r>
      <w:r w:rsidR="00950597" w:rsidRPr="001A0E92">
        <w:t>1</w:t>
      </w:r>
      <w:r w:rsidRPr="001A0E92">
        <w:rPr>
          <w:rFonts w:hint="eastAsia"/>
        </w:rPr>
        <w:t>）</w:t>
      </w:r>
      <w:r w:rsidR="00950597" w:rsidRPr="001A0E92">
        <w:t>根據斯國汽車公會</w:t>
      </w:r>
      <w:r w:rsidRPr="001A0E92">
        <w:rPr>
          <w:rFonts w:hint="eastAsia"/>
        </w:rPr>
        <w:t>（</w:t>
      </w:r>
      <w:r w:rsidR="00950597" w:rsidRPr="001A0E92">
        <w:t>ZAP</w:t>
      </w:r>
      <w:r w:rsidRPr="001A0E92">
        <w:rPr>
          <w:rFonts w:hint="eastAsia"/>
        </w:rPr>
        <w:t>）</w:t>
      </w:r>
      <w:r w:rsidR="00950597" w:rsidRPr="001A0E92">
        <w:t>統計，斯國電動車銷售數量仍少，</w:t>
      </w:r>
      <w:r w:rsidR="00950597" w:rsidRPr="001A0E92">
        <w:t>2020</w:t>
      </w:r>
      <w:r w:rsidR="00950597" w:rsidRPr="001A0E92">
        <w:t>年電動車銷售僅</w:t>
      </w:r>
      <w:r w:rsidR="005A5E4E" w:rsidRPr="001A0E92">
        <w:t>占</w:t>
      </w:r>
      <w:r w:rsidR="00950597" w:rsidRPr="001A0E92">
        <w:t>總體汽車銷售額的</w:t>
      </w:r>
      <w:r w:rsidR="00950597" w:rsidRPr="001A0E92">
        <w:t>1.2%</w:t>
      </w:r>
      <w:r w:rsidR="00950597" w:rsidRPr="001A0E92">
        <w:t>，低碳排放汽車</w:t>
      </w:r>
      <w:r w:rsidRPr="001A0E92">
        <w:rPr>
          <w:rFonts w:hint="eastAsia"/>
        </w:rPr>
        <w:t>（</w:t>
      </w:r>
      <w:r w:rsidR="00950597" w:rsidRPr="001A0E92">
        <w:t>電動車及插電式混合動力車</w:t>
      </w:r>
      <w:r w:rsidRPr="001A0E92">
        <w:rPr>
          <w:rFonts w:hint="eastAsia"/>
        </w:rPr>
        <w:t>）</w:t>
      </w:r>
      <w:r w:rsidR="00950597" w:rsidRPr="001A0E92">
        <w:t>之總銷量僅達</w:t>
      </w:r>
      <w:r w:rsidR="00950597" w:rsidRPr="001A0E92">
        <w:t>3%</w:t>
      </w:r>
      <w:r w:rsidR="00950597" w:rsidRPr="001A0E92">
        <w:t>，遠低於歐洲平均水平。</w:t>
      </w:r>
      <w:r w:rsidR="00950597" w:rsidRPr="001A0E92">
        <w:t>2021</w:t>
      </w:r>
      <w:r w:rsidR="00950597" w:rsidRPr="001A0E92">
        <w:t>年</w:t>
      </w:r>
      <w:r w:rsidR="00950597" w:rsidRPr="001A0E92">
        <w:t>1-6</w:t>
      </w:r>
      <w:r w:rsidR="00950597" w:rsidRPr="001A0E92">
        <w:t>月斯國電動車銷量為</w:t>
      </w:r>
      <w:r w:rsidR="00950597" w:rsidRPr="001A0E92">
        <w:t>432</w:t>
      </w:r>
      <w:r w:rsidR="00950597" w:rsidRPr="001A0E92">
        <w:t>台。目前累計全國註冊的電動汽車約有</w:t>
      </w:r>
      <w:r w:rsidR="00950597" w:rsidRPr="001A0E92">
        <w:t>3,669</w:t>
      </w:r>
      <w:r w:rsidR="00950597" w:rsidRPr="001A0E92">
        <w:t>輛，插電式混合動力汽車</w:t>
      </w:r>
      <w:r w:rsidR="00950597" w:rsidRPr="001A0E92">
        <w:t>2,972</w:t>
      </w:r>
      <w:r w:rsidR="00950597" w:rsidRPr="001A0E92">
        <w:t>輛。顯示斯國民眾對購買電動車興趣仍有限。</w:t>
      </w:r>
    </w:p>
    <w:p w:rsidR="00950597" w:rsidRPr="001A0E92" w:rsidRDefault="004F0E9D" w:rsidP="00181F63">
      <w:pPr>
        <w:pStyle w:val="12"/>
        <w:ind w:left="2006" w:hanging="590"/>
      </w:pPr>
      <w:r w:rsidRPr="001A0E92">
        <w:rPr>
          <w:rFonts w:hint="eastAsia"/>
        </w:rPr>
        <w:t>（</w:t>
      </w:r>
      <w:r w:rsidR="00950597" w:rsidRPr="001A0E92">
        <w:t>2</w:t>
      </w:r>
      <w:r w:rsidRPr="001A0E92">
        <w:rPr>
          <w:rFonts w:hint="eastAsia"/>
        </w:rPr>
        <w:t>）</w:t>
      </w:r>
      <w:r w:rsidR="00950597" w:rsidRPr="001A0E92">
        <w:t>VOLVO</w:t>
      </w:r>
      <w:r w:rsidR="00950597" w:rsidRPr="001A0E92">
        <w:t>汽車宣布在東部</w:t>
      </w:r>
      <w:r w:rsidR="00950597" w:rsidRPr="001A0E92">
        <w:t>KOSICE</w:t>
      </w:r>
      <w:r w:rsidR="00950597" w:rsidRPr="001A0E92">
        <w:t>投資設廠，自</w:t>
      </w:r>
      <w:r w:rsidR="00950597" w:rsidRPr="001A0E92">
        <w:t>2026</w:t>
      </w:r>
      <w:r w:rsidR="00950597" w:rsidRPr="001A0E92">
        <w:t>年起每年生產約</w:t>
      </w:r>
      <w:r w:rsidR="00950597" w:rsidRPr="001A0E92">
        <w:t>25</w:t>
      </w:r>
      <w:r w:rsidR="00950597" w:rsidRPr="001A0E92">
        <w:t>萬輛電動汽車。</w:t>
      </w:r>
    </w:p>
    <w:p w:rsidR="00950597" w:rsidRPr="001A0E92" w:rsidRDefault="004F0E9D" w:rsidP="00181F63">
      <w:pPr>
        <w:pStyle w:val="12"/>
        <w:ind w:left="2006" w:hanging="590"/>
      </w:pPr>
      <w:r w:rsidRPr="001A0E92">
        <w:rPr>
          <w:rFonts w:hint="eastAsia"/>
        </w:rPr>
        <w:t>（</w:t>
      </w:r>
      <w:r w:rsidR="00950597" w:rsidRPr="001A0E92">
        <w:t>3</w:t>
      </w:r>
      <w:r w:rsidRPr="001A0E92">
        <w:rPr>
          <w:rFonts w:hint="eastAsia"/>
        </w:rPr>
        <w:t>）</w:t>
      </w:r>
      <w:r w:rsidR="00950597" w:rsidRPr="001A0E92">
        <w:t>Volkswagen</w:t>
      </w:r>
      <w:r w:rsidR="00950597" w:rsidRPr="001A0E92">
        <w:t>斯國廠亦於</w:t>
      </w:r>
      <w:r w:rsidR="00950597" w:rsidRPr="001A0E92">
        <w:t>2023</w:t>
      </w:r>
      <w:r w:rsidR="00950597" w:rsidRPr="001A0E92">
        <w:t>年</w:t>
      </w:r>
      <w:r w:rsidR="00950597" w:rsidRPr="001A0E92">
        <w:t>3</w:t>
      </w:r>
      <w:r w:rsidR="00950597" w:rsidRPr="001A0E92">
        <w:t>月宣布將生產</w:t>
      </w:r>
      <w:r w:rsidR="00950597" w:rsidRPr="001A0E92">
        <w:t>Porsche</w:t>
      </w:r>
      <w:r w:rsidR="00950597" w:rsidRPr="001A0E92">
        <w:t>全電動休旅車</w:t>
      </w:r>
      <w:r w:rsidR="00950597" w:rsidRPr="001A0E92">
        <w:t>Cayenne model</w:t>
      </w:r>
      <w:r w:rsidR="00950597" w:rsidRPr="001A0E92">
        <w:t>。</w:t>
      </w:r>
    </w:p>
    <w:p w:rsidR="00950597" w:rsidRPr="001A0E92" w:rsidRDefault="00181F63" w:rsidP="00181F63">
      <w:pPr>
        <w:pStyle w:val="afb"/>
        <w:ind w:left="1416" w:hanging="472"/>
      </w:pPr>
      <w:r w:rsidRPr="001A0E92">
        <w:rPr>
          <w:rFonts w:hint="eastAsia"/>
        </w:rPr>
        <w:t>５、</w:t>
      </w:r>
      <w:r w:rsidR="00950597" w:rsidRPr="001A0E92">
        <w:t>鋰電池：受</w:t>
      </w:r>
      <w:r w:rsidR="00950597" w:rsidRPr="001A0E92">
        <w:t>KIA Motor</w:t>
      </w:r>
      <w:r w:rsidR="00950597" w:rsidRPr="001A0E92">
        <w:t>、</w:t>
      </w:r>
      <w:r w:rsidR="00950597" w:rsidRPr="001A0E92">
        <w:t>Stellantis</w:t>
      </w:r>
      <w:r w:rsidR="00950597" w:rsidRPr="001A0E92">
        <w:t>及</w:t>
      </w:r>
      <w:r w:rsidR="00950597" w:rsidRPr="001A0E92">
        <w:t>Volkswagen</w:t>
      </w:r>
      <w:r w:rsidR="00950597" w:rsidRPr="001A0E92">
        <w:t>等汽車大廠投入電動車製造影響，斯國已有</w:t>
      </w:r>
      <w:r w:rsidR="00950597" w:rsidRPr="001A0E92">
        <w:t>4</w:t>
      </w:r>
      <w:r w:rsidR="00950597" w:rsidRPr="001A0E92">
        <w:t>家業者參與「歐洲電池創新計畫」，包括</w:t>
      </w:r>
      <w:r w:rsidR="00950597" w:rsidRPr="001A0E92">
        <w:t>InoBat Auto</w:t>
      </w:r>
      <w:r w:rsidR="004F0E9D" w:rsidRPr="001A0E92">
        <w:rPr>
          <w:rFonts w:hint="eastAsia"/>
        </w:rPr>
        <w:t>（</w:t>
      </w:r>
      <w:r w:rsidR="00950597" w:rsidRPr="001A0E92">
        <w:t>研發及電池生產</w:t>
      </w:r>
      <w:r w:rsidR="004F0E9D" w:rsidRPr="001A0E92">
        <w:rPr>
          <w:rFonts w:hint="eastAsia"/>
        </w:rPr>
        <w:t>）</w:t>
      </w:r>
      <w:r w:rsidR="00950597" w:rsidRPr="001A0E92">
        <w:t>、</w:t>
      </w:r>
      <w:r w:rsidR="00950597" w:rsidRPr="001A0E92">
        <w:t>InoBat Energy</w:t>
      </w:r>
      <w:r w:rsidR="004F0E9D" w:rsidRPr="001A0E92">
        <w:rPr>
          <w:rFonts w:hint="eastAsia"/>
        </w:rPr>
        <w:t>（</w:t>
      </w:r>
      <w:r w:rsidR="00950597" w:rsidRPr="001A0E92">
        <w:t>清潔能源生產商及電動汽車充電</w:t>
      </w:r>
      <w:r w:rsidR="004F0E9D" w:rsidRPr="001A0E92">
        <w:rPr>
          <w:rFonts w:hint="eastAsia"/>
        </w:rPr>
        <w:t>）</w:t>
      </w:r>
      <w:r w:rsidR="00950597" w:rsidRPr="001A0E92">
        <w:t>、</w:t>
      </w:r>
      <w:r w:rsidR="00950597" w:rsidRPr="001A0E92">
        <w:t>Energo – Aqua</w:t>
      </w:r>
      <w:r w:rsidR="004F0E9D" w:rsidRPr="001A0E92">
        <w:rPr>
          <w:rFonts w:hint="eastAsia"/>
        </w:rPr>
        <w:t>（</w:t>
      </w:r>
      <w:r w:rsidR="00950597" w:rsidRPr="001A0E92">
        <w:t>小型水力發電廠</w:t>
      </w:r>
      <w:r w:rsidR="004F0E9D" w:rsidRPr="001A0E92">
        <w:rPr>
          <w:rFonts w:hint="eastAsia"/>
        </w:rPr>
        <w:t>）</w:t>
      </w:r>
      <w:r w:rsidR="00950597" w:rsidRPr="001A0E92">
        <w:t>及</w:t>
      </w:r>
      <w:r w:rsidR="00950597" w:rsidRPr="001A0E92">
        <w:t>ZTS - Research and development</w:t>
      </w:r>
      <w:r w:rsidR="004F0E9D" w:rsidRPr="001A0E92">
        <w:rPr>
          <w:rFonts w:hint="eastAsia"/>
        </w:rPr>
        <w:t>（</w:t>
      </w:r>
      <w:r w:rsidR="00950597" w:rsidRPr="001A0E92">
        <w:t>能源機械工程</w:t>
      </w:r>
      <w:r w:rsidR="004F0E9D" w:rsidRPr="001A0E92">
        <w:rPr>
          <w:rFonts w:hint="eastAsia"/>
        </w:rPr>
        <w:t>）</w:t>
      </w:r>
      <w:r w:rsidR="00950597" w:rsidRPr="001A0E92">
        <w:t>。</w:t>
      </w:r>
    </w:p>
    <w:p w:rsidR="00950597" w:rsidRPr="001A0E92" w:rsidRDefault="00181F63" w:rsidP="00181F63">
      <w:pPr>
        <w:pStyle w:val="afb"/>
        <w:ind w:left="1416" w:hanging="472"/>
      </w:pPr>
      <w:r w:rsidRPr="001A0E92">
        <w:rPr>
          <w:rFonts w:hint="eastAsia"/>
        </w:rPr>
        <w:t>６、</w:t>
      </w:r>
      <w:r w:rsidR="00950597" w:rsidRPr="001A0E92">
        <w:t>充電樁設施：</w:t>
      </w:r>
    </w:p>
    <w:p w:rsidR="00950597" w:rsidRPr="001A0E92" w:rsidRDefault="004F0E9D" w:rsidP="00181F63">
      <w:pPr>
        <w:pStyle w:val="12"/>
        <w:ind w:left="2006" w:hanging="590"/>
      </w:pPr>
      <w:r w:rsidRPr="001A0E92">
        <w:rPr>
          <w:rFonts w:hint="eastAsia"/>
        </w:rPr>
        <w:t>（</w:t>
      </w:r>
      <w:r w:rsidR="00950597" w:rsidRPr="001A0E92">
        <w:t>1</w:t>
      </w:r>
      <w:r w:rsidRPr="001A0E92">
        <w:rPr>
          <w:rFonts w:hint="eastAsia"/>
        </w:rPr>
        <w:t>）</w:t>
      </w:r>
      <w:r w:rsidR="00950597" w:rsidRPr="001A0E92">
        <w:t>為配合政府政策及爭取本地電動車產業商機，斯洛伐克本地充電站營運商亦積極擴大充電網絡，主要電動車充電站廠商如</w:t>
      </w:r>
      <w:r w:rsidR="00950597" w:rsidRPr="001A0E92">
        <w:t>ZSE Drive</w:t>
      </w:r>
      <w:r w:rsidR="00950597" w:rsidRPr="001A0E92">
        <w:t>、</w:t>
      </w:r>
      <w:r w:rsidR="00950597" w:rsidRPr="001A0E92">
        <w:t>Green Way</w:t>
      </w:r>
      <w:r w:rsidR="00950597" w:rsidRPr="001A0E92">
        <w:t>、</w:t>
      </w:r>
      <w:r w:rsidR="00950597" w:rsidRPr="001A0E92">
        <w:t>ejoin</w:t>
      </w:r>
      <w:r w:rsidR="00950597" w:rsidRPr="001A0E92">
        <w:t>等，已陸續透過地方政府補貼於各地陸續建立充電站。</w:t>
      </w:r>
      <w:r w:rsidR="00950597" w:rsidRPr="001A0E92">
        <w:t>ZSE Drive</w:t>
      </w:r>
      <w:r w:rsidR="00950597" w:rsidRPr="001A0E92">
        <w:t>計畫於在高速公路休息站上建設充電站，另於重要樞紐建立快速充電站，</w:t>
      </w:r>
      <w:r w:rsidR="00950597" w:rsidRPr="001A0E92">
        <w:t>Green Way</w:t>
      </w:r>
      <w:r w:rsidR="00950597" w:rsidRPr="001A0E92">
        <w:t>則將專注於商務中心及公寓大樓之收費解決方案，至</w:t>
      </w:r>
      <w:r w:rsidR="00950597" w:rsidRPr="001A0E92">
        <w:t>ejoin</w:t>
      </w:r>
      <w:r w:rsidR="00950597" w:rsidRPr="001A0E92">
        <w:t>則為安裝直流充電站。</w:t>
      </w:r>
    </w:p>
    <w:p w:rsidR="00950597" w:rsidRPr="001A0E92" w:rsidRDefault="004F0E9D" w:rsidP="00181F63">
      <w:pPr>
        <w:pStyle w:val="12"/>
        <w:ind w:left="2006" w:hanging="590"/>
        <w:jc w:val="left"/>
      </w:pPr>
      <w:r w:rsidRPr="001A0E92">
        <w:rPr>
          <w:rFonts w:hint="eastAsia"/>
        </w:rPr>
        <w:t>（</w:t>
      </w:r>
      <w:r w:rsidR="00950597" w:rsidRPr="001A0E92">
        <w:t>2</w:t>
      </w:r>
      <w:r w:rsidRPr="001A0E92">
        <w:rPr>
          <w:rFonts w:hint="eastAsia"/>
        </w:rPr>
        <w:t>）</w:t>
      </w:r>
      <w:r w:rsidR="00950597" w:rsidRPr="001A0E92">
        <w:rPr>
          <w:spacing w:val="-4"/>
          <w:kern w:val="24"/>
        </w:rPr>
        <w:t>另根據斯國媒體</w:t>
      </w:r>
      <w:r w:rsidR="00950597" w:rsidRPr="001A0E92">
        <w:rPr>
          <w:spacing w:val="-4"/>
          <w:kern w:val="24"/>
        </w:rPr>
        <w:t>Spectator2023</w:t>
      </w:r>
      <w:r w:rsidR="00950597" w:rsidRPr="001A0E92">
        <w:rPr>
          <w:spacing w:val="-4"/>
          <w:kern w:val="24"/>
        </w:rPr>
        <w:t>年</w:t>
      </w:r>
      <w:r w:rsidR="00950597" w:rsidRPr="001A0E92">
        <w:rPr>
          <w:spacing w:val="-4"/>
          <w:kern w:val="24"/>
        </w:rPr>
        <w:t>3</w:t>
      </w:r>
      <w:r w:rsidR="00950597" w:rsidRPr="001A0E92">
        <w:rPr>
          <w:spacing w:val="-4"/>
          <w:kern w:val="24"/>
        </w:rPr>
        <w:t>月報導，美商</w:t>
      </w:r>
      <w:r w:rsidR="00950597" w:rsidRPr="001A0E92">
        <w:rPr>
          <w:spacing w:val="-4"/>
          <w:kern w:val="24"/>
        </w:rPr>
        <w:t>Trend Technologies</w:t>
      </w:r>
      <w:r w:rsidR="00950597" w:rsidRPr="001A0E92">
        <w:t>規劃在斯國</w:t>
      </w:r>
      <w:r w:rsidR="00950597" w:rsidRPr="001A0E92">
        <w:t>Martin</w:t>
      </w:r>
      <w:r w:rsidR="00950597" w:rsidRPr="001A0E92">
        <w:t>興建電動車快充站，預估投資額</w:t>
      </w:r>
      <w:r w:rsidR="00950597" w:rsidRPr="001A0E92">
        <w:t>700</w:t>
      </w:r>
      <w:r w:rsidR="00950597" w:rsidRPr="001A0E92">
        <w:t>萬歐元，並於</w:t>
      </w:r>
      <w:r w:rsidR="00950597" w:rsidRPr="001A0E92">
        <w:t>2024</w:t>
      </w:r>
      <w:r w:rsidR="00950597" w:rsidRPr="001A0E92">
        <w:t>年啟用。</w:t>
      </w:r>
    </w:p>
    <w:p w:rsidR="00950597" w:rsidRPr="001A0E92" w:rsidRDefault="004F0E9D" w:rsidP="00181F63">
      <w:pPr>
        <w:pStyle w:val="12"/>
        <w:ind w:left="2006" w:hanging="590"/>
      </w:pPr>
      <w:r w:rsidRPr="001A0E92">
        <w:rPr>
          <w:rFonts w:hint="eastAsia"/>
        </w:rPr>
        <w:t>（</w:t>
      </w:r>
      <w:r w:rsidR="00950597" w:rsidRPr="001A0E92">
        <w:t>3</w:t>
      </w:r>
      <w:r w:rsidRPr="001A0E92">
        <w:rPr>
          <w:rFonts w:hint="eastAsia"/>
        </w:rPr>
        <w:t>）</w:t>
      </w:r>
      <w:r w:rsidR="00950597" w:rsidRPr="001A0E92">
        <w:t>斯國政府「電動車行動計畫</w:t>
      </w:r>
      <w:r w:rsidRPr="001A0E92">
        <w:rPr>
          <w:rFonts w:hint="eastAsia"/>
        </w:rPr>
        <w:t>（</w:t>
      </w:r>
      <w:r w:rsidR="00950597" w:rsidRPr="001A0E92">
        <w:t>E-Mobility Action Plan</w:t>
      </w:r>
      <w:r w:rsidRPr="001A0E92">
        <w:rPr>
          <w:rFonts w:hint="eastAsia"/>
        </w:rPr>
        <w:t>）</w:t>
      </w:r>
      <w:r w:rsidR="00950597" w:rsidRPr="001A0E92">
        <w:t>」：斯國電動車協會</w:t>
      </w:r>
      <w:r w:rsidRPr="001A0E92">
        <w:rPr>
          <w:rFonts w:hint="eastAsia"/>
        </w:rPr>
        <w:t>（</w:t>
      </w:r>
      <w:r w:rsidR="00950597" w:rsidRPr="001A0E92">
        <w:t>SEVA</w:t>
      </w:r>
      <w:r w:rsidRPr="001A0E92">
        <w:rPr>
          <w:rFonts w:hint="eastAsia"/>
        </w:rPr>
        <w:t>）</w:t>
      </w:r>
      <w:r w:rsidR="00950597" w:rsidRPr="001A0E92">
        <w:t>於</w:t>
      </w:r>
      <w:r w:rsidR="00950597" w:rsidRPr="001A0E92">
        <w:t>2022</w:t>
      </w:r>
      <w:r w:rsidR="00950597" w:rsidRPr="001A0E92">
        <w:t>年</w:t>
      </w:r>
      <w:r w:rsidR="00950597" w:rsidRPr="001A0E92">
        <w:t>12</w:t>
      </w:r>
      <w:r w:rsidR="00950597" w:rsidRPr="001A0E92">
        <w:t>月消息指出，斯國政府將自彈性及復甦計畫中撥列</w:t>
      </w:r>
      <w:r w:rsidR="00950597" w:rsidRPr="001A0E92">
        <w:t>4,600</w:t>
      </w:r>
      <w:r w:rsidR="00950597" w:rsidRPr="001A0E92">
        <w:t>萬歐元，其中</w:t>
      </w:r>
      <w:r w:rsidR="00950597" w:rsidRPr="001A0E92">
        <w:t>3,000</w:t>
      </w:r>
      <w:r w:rsidR="00950597" w:rsidRPr="001A0E92">
        <w:t>萬歐元用於在高速公路沿線安裝全國超快充電基礎設施網絡，以及</w:t>
      </w:r>
      <w:r w:rsidR="00950597" w:rsidRPr="001A0E92">
        <w:t>1,000</w:t>
      </w:r>
      <w:r w:rsidR="00950597" w:rsidRPr="001A0E92">
        <w:t>萬歐元用於促進地方充電基礎設施，並為企業預留</w:t>
      </w:r>
      <w:r w:rsidR="00950597" w:rsidRPr="001A0E92">
        <w:t>600</w:t>
      </w:r>
      <w:r w:rsidR="00950597" w:rsidRPr="001A0E92">
        <w:t>萬歐元。充電站計劃部分，將於全國建立</w:t>
      </w:r>
      <w:r w:rsidR="00950597" w:rsidRPr="001A0E92">
        <w:t>60</w:t>
      </w:r>
      <w:r w:rsidR="00950597" w:rsidRPr="001A0E92">
        <w:t>多個充電站，包括</w:t>
      </w:r>
      <w:r w:rsidR="00950597" w:rsidRPr="001A0E92">
        <w:t>230</w:t>
      </w:r>
      <w:r w:rsidR="00950597" w:rsidRPr="001A0E92">
        <w:t>個充電點、</w:t>
      </w:r>
      <w:r w:rsidR="00950597" w:rsidRPr="001A0E92">
        <w:t>4-6</w:t>
      </w:r>
      <w:r w:rsidR="00950597" w:rsidRPr="001A0E92">
        <w:t>個至少</w:t>
      </w:r>
      <w:r w:rsidR="00950597" w:rsidRPr="001A0E92">
        <w:t>150 kW</w:t>
      </w:r>
      <w:r w:rsidR="00950597" w:rsidRPr="001A0E92">
        <w:t>的超快速充電站。此外，地方政府亦可透過該計畫向中央政府申請興建充電基礎設備，以擴充斯國現有</w:t>
      </w:r>
      <w:r w:rsidR="00950597" w:rsidRPr="001A0E92">
        <w:t>1,300</w:t>
      </w:r>
      <w:r w:rsidR="00950597" w:rsidRPr="001A0E92">
        <w:t>多個公共充電站。</w:t>
      </w:r>
    </w:p>
    <w:p w:rsidR="00950597" w:rsidRPr="001A0E92" w:rsidRDefault="00950597" w:rsidP="00181F63">
      <w:pPr>
        <w:pStyle w:val="af8"/>
        <w:ind w:left="944" w:hanging="708"/>
      </w:pPr>
      <w:r w:rsidRPr="001A0E92">
        <w:t>（二）電子產業</w:t>
      </w:r>
    </w:p>
    <w:p w:rsidR="00950597" w:rsidRPr="001A0E92" w:rsidRDefault="00950597" w:rsidP="00181F63">
      <w:pPr>
        <w:pStyle w:val="af9"/>
        <w:ind w:left="944" w:firstLine="472"/>
      </w:pPr>
      <w:r w:rsidRPr="001A0E92">
        <w:t>電子及相關零組件產業</w:t>
      </w:r>
      <w:r w:rsidR="004F0E9D" w:rsidRPr="001A0E92">
        <w:rPr>
          <w:rFonts w:hint="eastAsia"/>
        </w:rPr>
        <w:t>（</w:t>
      </w:r>
      <w:r w:rsidRPr="001A0E92">
        <w:t>Electronics &amp;Electrical Components</w:t>
      </w:r>
      <w:r w:rsidR="004F0E9D" w:rsidRPr="001A0E92">
        <w:rPr>
          <w:rFonts w:hint="eastAsia"/>
        </w:rPr>
        <w:t>）</w:t>
      </w:r>
      <w:r w:rsidRPr="001A0E92">
        <w:t>為斯國次於汽車產業的第二大重要產業，自</w:t>
      </w:r>
      <w:r w:rsidRPr="001A0E92">
        <w:t>1893</w:t>
      </w:r>
      <w:r w:rsidRPr="001A0E92">
        <w:t>年發展至今具有悠久歷史，在工業產值方面扮演重要角色，對斯洛伐克</w:t>
      </w:r>
      <w:r w:rsidRPr="001A0E92">
        <w:t>GDP</w:t>
      </w:r>
      <w:r w:rsidRPr="001A0E92">
        <w:t>貢獻大，亦為斯國就業市場的第二大雇主。該產業包含兩大領域：一為傳統電子製造</w:t>
      </w:r>
      <w:r w:rsidR="004F0E9D" w:rsidRPr="001A0E92">
        <w:rPr>
          <w:rFonts w:hint="eastAsia"/>
        </w:rPr>
        <w:t>（</w:t>
      </w:r>
      <w:r w:rsidRPr="001A0E92">
        <w:t>發電機、電話機、收音機等</w:t>
      </w:r>
      <w:r w:rsidR="004F0E9D" w:rsidRPr="001A0E92">
        <w:rPr>
          <w:rFonts w:hint="eastAsia"/>
        </w:rPr>
        <w:t>）</w:t>
      </w:r>
      <w:r w:rsidRPr="001A0E92">
        <w:t>，另一為與</w:t>
      </w:r>
      <w:r w:rsidRPr="001A0E92">
        <w:t>E-Mobility</w:t>
      </w:r>
      <w:r w:rsidRPr="001A0E92">
        <w:t>汽車業相關</w:t>
      </w:r>
      <w:r w:rsidR="004F0E9D" w:rsidRPr="001A0E92">
        <w:rPr>
          <w:rFonts w:hint="eastAsia"/>
        </w:rPr>
        <w:t>（</w:t>
      </w:r>
      <w:r w:rsidRPr="001A0E92">
        <w:t>電動馬達、微電子、傳感器等</w:t>
      </w:r>
      <w:r w:rsidR="004F0E9D" w:rsidRPr="001A0E92">
        <w:rPr>
          <w:rFonts w:hint="eastAsia"/>
        </w:rPr>
        <w:t>）</w:t>
      </w:r>
      <w:r w:rsidRPr="001A0E92">
        <w:t>之領域。後者發展為斯國中歐地區電動車產業聚落，斯國有些電子公司因具備高科技及創新基礎已成功轉型。</w:t>
      </w:r>
    </w:p>
    <w:p w:rsidR="00950597" w:rsidRPr="001A0E92" w:rsidRDefault="00950597" w:rsidP="00181F63">
      <w:pPr>
        <w:pStyle w:val="af9"/>
        <w:ind w:left="944" w:firstLine="472"/>
      </w:pPr>
      <w:r w:rsidRPr="001A0E92">
        <w:t>2022</w:t>
      </w:r>
      <w:r w:rsidRPr="001A0E92">
        <w:t>年斯國電子及相關零組件產業情形：總營業額近</w:t>
      </w:r>
      <w:r w:rsidRPr="001A0E92">
        <w:t>80</w:t>
      </w:r>
      <w:r w:rsidRPr="001A0E92">
        <w:t>億歐元、所創造之附加價值達</w:t>
      </w:r>
      <w:r w:rsidRPr="001A0E92">
        <w:t>13.9</w:t>
      </w:r>
      <w:r w:rsidRPr="001A0E92">
        <w:t>億歐元、占工業生產總值</w:t>
      </w:r>
      <w:r w:rsidRPr="001A0E92">
        <w:t>9%</w:t>
      </w:r>
      <w:r w:rsidRPr="001A0E92">
        <w:t>、僱用人數達</w:t>
      </w:r>
      <w:r w:rsidRPr="001A0E92">
        <w:t>4.5</w:t>
      </w:r>
      <w:r w:rsidRPr="001A0E92">
        <w:t>萬人、平均月薪</w:t>
      </w:r>
      <w:r w:rsidRPr="001A0E92">
        <w:t>1,260</w:t>
      </w:r>
      <w:r w:rsidRPr="001A0E92">
        <w:t>歐元、超過</w:t>
      </w:r>
      <w:r w:rsidRPr="001A0E92">
        <w:t>20</w:t>
      </w:r>
      <w:r w:rsidRPr="001A0E92">
        <w:t>位全職員工公司達</w:t>
      </w:r>
      <w:r w:rsidRPr="001A0E92">
        <w:t>222</w:t>
      </w:r>
      <w:r w:rsidRPr="001A0E92">
        <w:t>家。</w:t>
      </w:r>
    </w:p>
    <w:p w:rsidR="00950597" w:rsidRPr="001A0E92" w:rsidRDefault="00950597" w:rsidP="00181F63">
      <w:pPr>
        <w:pStyle w:val="af9"/>
        <w:ind w:left="944" w:firstLine="472"/>
      </w:pPr>
      <w:r w:rsidRPr="001A0E92">
        <w:t>電子業在汽車供應鏈中已深耕的領域及業者包含：電動車充電設備</w:t>
      </w:r>
      <w:r w:rsidR="004F0E9D" w:rsidRPr="001A0E92">
        <w:rPr>
          <w:rFonts w:hint="eastAsia"/>
        </w:rPr>
        <w:t>（</w:t>
      </w:r>
      <w:r w:rsidRPr="001A0E92">
        <w:t>MSM Group, Delta Electronics, GreenWayInfrastructure, ejoin</w:t>
      </w:r>
      <w:r w:rsidR="004F0E9D" w:rsidRPr="001A0E92">
        <w:rPr>
          <w:rFonts w:hint="eastAsia"/>
        </w:rPr>
        <w:t>）</w:t>
      </w:r>
      <w:r w:rsidRPr="001A0E92">
        <w:t>、電動車電池及零組件</w:t>
      </w:r>
      <w:r w:rsidR="004F0E9D" w:rsidRPr="001A0E92">
        <w:rPr>
          <w:rFonts w:hint="eastAsia"/>
        </w:rPr>
        <w:t>（</w:t>
      </w:r>
      <w:r w:rsidRPr="001A0E92">
        <w:t>Nemak, Panasonic Industrial Devices, U.S. Steel, Webasto Convertibles, Intercable</w:t>
      </w:r>
      <w:r w:rsidR="004F0E9D" w:rsidRPr="001A0E92">
        <w:rPr>
          <w:rFonts w:hint="eastAsia"/>
        </w:rPr>
        <w:t>）</w:t>
      </w:r>
      <w:r w:rsidRPr="001A0E92">
        <w:t>、電纜束線</w:t>
      </w:r>
      <w:r w:rsidR="004F0E9D" w:rsidRPr="001A0E92">
        <w:rPr>
          <w:rFonts w:hint="eastAsia"/>
        </w:rPr>
        <w:t>（</w:t>
      </w:r>
      <w:r w:rsidRPr="001A0E92">
        <w:t>Mahle Behr, Leoni, SE Bordnetze, Calearo,Yazaki, Kromberg &amp; Schubert, Prettl</w:t>
      </w:r>
      <w:r w:rsidRPr="001A0E92">
        <w:t>等</w:t>
      </w:r>
      <w:r w:rsidR="004F0E9D" w:rsidRPr="001A0E92">
        <w:rPr>
          <w:rFonts w:hint="eastAsia"/>
        </w:rPr>
        <w:t>）</w:t>
      </w:r>
      <w:r w:rsidRPr="001A0E92">
        <w:t>、內外車燈</w:t>
      </w:r>
      <w:r w:rsidR="004F0E9D" w:rsidRPr="001A0E92">
        <w:rPr>
          <w:rFonts w:hint="eastAsia"/>
        </w:rPr>
        <w:t>（</w:t>
      </w:r>
      <w:r w:rsidRPr="001A0E92">
        <w:t>OSRAM, SEC, CEMM THOME, Služba, Nitra, ZKW, Hella Slovakia Lighting, Hella, Innenleuchten Systeme</w:t>
      </w:r>
      <w:r w:rsidR="004F0E9D" w:rsidRPr="001A0E92">
        <w:rPr>
          <w:rFonts w:hint="eastAsia"/>
        </w:rPr>
        <w:t>）</w:t>
      </w:r>
      <w:r w:rsidRPr="001A0E92">
        <w:t>、天線</w:t>
      </w:r>
      <w:r w:rsidR="004F0E9D" w:rsidRPr="001A0E92">
        <w:rPr>
          <w:rFonts w:hint="eastAsia"/>
        </w:rPr>
        <w:t>（</w:t>
      </w:r>
      <w:r w:rsidRPr="001A0E92">
        <w:t>Calearo</w:t>
      </w:r>
      <w:r w:rsidR="004F0E9D" w:rsidRPr="001A0E92">
        <w:rPr>
          <w:rFonts w:hint="eastAsia"/>
        </w:rPr>
        <w:t>）</w:t>
      </w:r>
      <w:r w:rsidRPr="001A0E92">
        <w:t>等。</w:t>
      </w:r>
    </w:p>
    <w:p w:rsidR="00950597" w:rsidRPr="001A0E92" w:rsidRDefault="00950597" w:rsidP="00181F63">
      <w:pPr>
        <w:pStyle w:val="af9"/>
        <w:ind w:left="944" w:firstLine="472"/>
      </w:pPr>
      <w:r w:rsidRPr="001A0E92">
        <w:t>在斯國具研發厚實基礎之代表性成功電子企業包含：</w:t>
      </w:r>
      <w:r w:rsidRPr="001A0E92">
        <w:t>OSRAM</w:t>
      </w:r>
      <w:r w:rsidR="004F0E9D" w:rsidRPr="001A0E92">
        <w:rPr>
          <w:rFonts w:hint="eastAsia"/>
        </w:rPr>
        <w:t>（</w:t>
      </w:r>
      <w:r w:rsidRPr="001A0E92">
        <w:t>生產車用及家用照明</w:t>
      </w:r>
      <w:r w:rsidR="004F0E9D" w:rsidRPr="001A0E92">
        <w:rPr>
          <w:rFonts w:hint="eastAsia"/>
        </w:rPr>
        <w:t>）</w:t>
      </w:r>
      <w:r w:rsidRPr="001A0E92">
        <w:t>、</w:t>
      </w:r>
      <w:r w:rsidRPr="001A0E92">
        <w:t>LEONI</w:t>
      </w:r>
      <w:r w:rsidR="004F0E9D" w:rsidRPr="001A0E92">
        <w:rPr>
          <w:rFonts w:hint="eastAsia"/>
        </w:rPr>
        <w:t>（</w:t>
      </w:r>
      <w:r w:rsidRPr="001A0E92">
        <w:t>電纜束線及開關</w:t>
      </w:r>
      <w:r w:rsidR="004F0E9D" w:rsidRPr="001A0E92">
        <w:rPr>
          <w:rFonts w:hint="eastAsia"/>
        </w:rPr>
        <w:t>）</w:t>
      </w:r>
      <w:r w:rsidRPr="001A0E92">
        <w:t>、</w:t>
      </w:r>
      <w:r w:rsidRPr="001A0E92">
        <w:t>ENICS</w:t>
      </w:r>
      <w:r w:rsidR="004F0E9D" w:rsidRPr="001A0E92">
        <w:rPr>
          <w:rFonts w:hint="eastAsia"/>
        </w:rPr>
        <w:t>（</w:t>
      </w:r>
      <w:r w:rsidRPr="001A0E92">
        <w:t>電路板及相關產品</w:t>
      </w:r>
      <w:r w:rsidR="004F0E9D" w:rsidRPr="001A0E92">
        <w:rPr>
          <w:rFonts w:hint="eastAsia"/>
        </w:rPr>
        <w:t>）</w:t>
      </w:r>
      <w:r w:rsidRPr="001A0E92">
        <w:t>、</w:t>
      </w:r>
      <w:r w:rsidRPr="001A0E92">
        <w:t>ELCOM</w:t>
      </w:r>
      <w:r w:rsidR="004F0E9D" w:rsidRPr="001A0E92">
        <w:rPr>
          <w:rFonts w:hint="eastAsia"/>
        </w:rPr>
        <w:t>（</w:t>
      </w:r>
      <w:r w:rsidRPr="001A0E92">
        <w:t>POS</w:t>
      </w:r>
      <w:r w:rsidRPr="001A0E92">
        <w:t>收銀系統及工業電腦</w:t>
      </w:r>
      <w:r w:rsidR="004F0E9D" w:rsidRPr="001A0E92">
        <w:rPr>
          <w:rFonts w:hint="eastAsia"/>
        </w:rPr>
        <w:t>）</w:t>
      </w:r>
      <w:r w:rsidRPr="001A0E92">
        <w:t>、</w:t>
      </w:r>
      <w:r w:rsidRPr="001A0E92">
        <w:t>MICROSTEP</w:t>
      </w:r>
      <w:r w:rsidR="004F0E9D" w:rsidRPr="001A0E92">
        <w:rPr>
          <w:rFonts w:hint="eastAsia"/>
        </w:rPr>
        <w:t>（</w:t>
      </w:r>
      <w:r w:rsidRPr="001A0E92">
        <w:t>智慧電漿切割及</w:t>
      </w:r>
      <w:r w:rsidRPr="001A0E92">
        <w:t>CNC</w:t>
      </w:r>
      <w:r w:rsidRPr="001A0E92">
        <w:t>機器</w:t>
      </w:r>
      <w:r w:rsidR="004F0E9D" w:rsidRPr="001A0E92">
        <w:rPr>
          <w:rFonts w:hint="eastAsia"/>
        </w:rPr>
        <w:t>）</w:t>
      </w:r>
      <w:r w:rsidRPr="001A0E92">
        <w:t>、</w:t>
      </w:r>
      <w:r w:rsidRPr="001A0E92">
        <w:t>BSH</w:t>
      </w:r>
      <w:r w:rsidR="004F0E9D" w:rsidRPr="001A0E92">
        <w:rPr>
          <w:rFonts w:hint="eastAsia"/>
        </w:rPr>
        <w:t>（</w:t>
      </w:r>
      <w:r w:rsidRPr="001A0E92">
        <w:t>驅動器和泵</w:t>
      </w:r>
      <w:r w:rsidR="004F0E9D" w:rsidRPr="001A0E92">
        <w:rPr>
          <w:rFonts w:hint="eastAsia"/>
        </w:rPr>
        <w:t>）</w:t>
      </w:r>
      <w:r w:rsidRPr="001A0E92">
        <w:t>等。</w:t>
      </w:r>
    </w:p>
    <w:p w:rsidR="00950597" w:rsidRPr="001A0E92" w:rsidRDefault="00950597" w:rsidP="00181F63">
      <w:pPr>
        <w:pStyle w:val="af9"/>
        <w:ind w:left="944" w:firstLine="472"/>
      </w:pPr>
      <w:r w:rsidRPr="001A0E92">
        <w:t>依據斯國投資及貿易發展局</w:t>
      </w:r>
      <w:r w:rsidRPr="001A0E92">
        <w:t>2022</w:t>
      </w:r>
      <w:r w:rsidRPr="001A0E92">
        <w:t>年統計，電子業營業額前</w:t>
      </w:r>
      <w:r w:rsidRPr="001A0E92">
        <w:t>20</w:t>
      </w:r>
      <w:r w:rsidRPr="001A0E92">
        <w:t>大公司依次為：排名第</w:t>
      </w:r>
      <w:r w:rsidRPr="001A0E92">
        <w:t>1</w:t>
      </w:r>
      <w:r w:rsidRPr="001A0E92">
        <w:t>之韓商</w:t>
      </w:r>
      <w:r w:rsidRPr="001A0E92">
        <w:t>Samsung Electronics</w:t>
      </w:r>
      <w:r w:rsidR="004F0E9D" w:rsidRPr="001A0E92">
        <w:rPr>
          <w:rFonts w:hint="eastAsia"/>
        </w:rPr>
        <w:t>（</w:t>
      </w:r>
      <w:r w:rsidRPr="001A0E92">
        <w:t>2021</w:t>
      </w:r>
      <w:r w:rsidRPr="001A0E92">
        <w:t>年營業額</w:t>
      </w:r>
      <w:r w:rsidRPr="001A0E92">
        <w:t>12.56</w:t>
      </w:r>
      <w:r w:rsidRPr="001A0E92">
        <w:t>億歐元，</w:t>
      </w:r>
      <w:r w:rsidR="005A5E4E" w:rsidRPr="001A0E92">
        <w:t>僱用</w:t>
      </w:r>
      <w:r w:rsidRPr="001A0E92">
        <w:t>782</w:t>
      </w:r>
      <w:r w:rsidRPr="001A0E92">
        <w:t>名員工</w:t>
      </w:r>
      <w:r w:rsidR="004F0E9D" w:rsidRPr="001A0E92">
        <w:rPr>
          <w:rFonts w:hint="eastAsia"/>
        </w:rPr>
        <w:t>）</w:t>
      </w:r>
      <w:r w:rsidRPr="001A0E92">
        <w:t>、第</w:t>
      </w:r>
      <w:r w:rsidRPr="001A0E92">
        <w:t>2</w:t>
      </w:r>
      <w:r w:rsidRPr="001A0E92">
        <w:t>名為臺灣</w:t>
      </w:r>
      <w:r w:rsidRPr="001A0E92">
        <w:t>Foxconn</w:t>
      </w:r>
      <w:r w:rsidR="004F0E9D" w:rsidRPr="001A0E92">
        <w:rPr>
          <w:rFonts w:hint="eastAsia"/>
        </w:rPr>
        <w:t>（</w:t>
      </w:r>
      <w:r w:rsidRPr="001A0E92">
        <w:t>2021</w:t>
      </w:r>
      <w:r w:rsidRPr="001A0E92">
        <w:t>年</w:t>
      </w:r>
      <w:r w:rsidRPr="001A0E92">
        <w:t>10.04</w:t>
      </w:r>
      <w:r w:rsidRPr="001A0E92">
        <w:t>億歐元、</w:t>
      </w:r>
      <w:r w:rsidRPr="001A0E92">
        <w:t>1,410</w:t>
      </w:r>
      <w:r w:rsidRPr="001A0E92">
        <w:t>名</w:t>
      </w:r>
      <w:r w:rsidR="004F0E9D" w:rsidRPr="001A0E92">
        <w:rPr>
          <w:rFonts w:hint="eastAsia"/>
        </w:rPr>
        <w:t>）</w:t>
      </w:r>
      <w:r w:rsidRPr="001A0E92">
        <w:t>，另我國</w:t>
      </w:r>
      <w:r w:rsidRPr="001A0E92">
        <w:t>Delta</w:t>
      </w:r>
      <w:r w:rsidRPr="001A0E92">
        <w:t>名列第</w:t>
      </w:r>
      <w:r w:rsidRPr="001A0E92">
        <w:t>16</w:t>
      </w:r>
      <w:r w:rsidRPr="001A0E92">
        <w:t>名</w:t>
      </w:r>
      <w:r w:rsidR="004F0E9D" w:rsidRPr="001A0E92">
        <w:rPr>
          <w:rFonts w:hint="eastAsia"/>
        </w:rPr>
        <w:t>（</w:t>
      </w:r>
      <w:r w:rsidRPr="001A0E92">
        <w:t>8,900</w:t>
      </w:r>
      <w:r w:rsidRPr="001A0E92">
        <w:t>萬歐元、</w:t>
      </w:r>
      <w:r w:rsidRPr="001A0E92">
        <w:t>529</w:t>
      </w:r>
      <w:r w:rsidRPr="001A0E92">
        <w:t>名</w:t>
      </w:r>
      <w:r w:rsidR="004F0E9D" w:rsidRPr="001A0E92">
        <w:rPr>
          <w:rFonts w:hint="eastAsia"/>
        </w:rPr>
        <w:t>）</w:t>
      </w:r>
      <w:r w:rsidRPr="001A0E92">
        <w:t>，被貿聯併購之</w:t>
      </w:r>
      <w:r w:rsidRPr="001A0E92">
        <w:t>Leoni</w:t>
      </w:r>
      <w:r w:rsidRPr="001A0E92">
        <w:t>名列第</w:t>
      </w:r>
      <w:r w:rsidRPr="001A0E92">
        <w:t>10</w:t>
      </w:r>
      <w:r w:rsidR="004F0E9D" w:rsidRPr="001A0E92">
        <w:rPr>
          <w:rFonts w:hint="eastAsia"/>
        </w:rPr>
        <w:t>（</w:t>
      </w:r>
      <w:r w:rsidRPr="001A0E92">
        <w:t>2.08</w:t>
      </w:r>
      <w:r w:rsidRPr="001A0E92">
        <w:t>億歐元、</w:t>
      </w:r>
      <w:r w:rsidRPr="001A0E92">
        <w:t>2,259</w:t>
      </w:r>
      <w:r w:rsidRPr="001A0E92">
        <w:t>名</w:t>
      </w:r>
      <w:r w:rsidR="004F0E9D" w:rsidRPr="001A0E92">
        <w:rPr>
          <w:rFonts w:hint="eastAsia"/>
        </w:rPr>
        <w:t>）</w:t>
      </w:r>
      <w:r w:rsidRPr="001A0E92">
        <w:t>。</w:t>
      </w:r>
    </w:p>
    <w:p w:rsidR="00950597" w:rsidRPr="001A0E92" w:rsidRDefault="00950597" w:rsidP="00181F63">
      <w:pPr>
        <w:pStyle w:val="af9"/>
        <w:ind w:left="944" w:firstLine="472"/>
      </w:pPr>
      <w:r w:rsidRPr="001A0E92">
        <w:t>電子工程產業吸引跨國業者及其供應商進駐。許多電子及其零組件公司與汽車產業密切配合。電子及電子零組件公司分布斯國全國，依員工於各省分布比重，較集中地區為</w:t>
      </w:r>
      <w:r w:rsidRPr="001A0E92">
        <w:t>Trencin</w:t>
      </w:r>
      <w:r w:rsidRPr="001A0E92">
        <w:t>省</w:t>
      </w:r>
      <w:r w:rsidR="004F0E9D" w:rsidRPr="001A0E92">
        <w:rPr>
          <w:rFonts w:hint="eastAsia"/>
        </w:rPr>
        <w:t>（</w:t>
      </w:r>
      <w:r w:rsidRPr="001A0E92">
        <w:t>30%</w:t>
      </w:r>
      <w:r w:rsidR="004F0E9D" w:rsidRPr="001A0E92">
        <w:rPr>
          <w:rFonts w:hint="eastAsia"/>
        </w:rPr>
        <w:t>）</w:t>
      </w:r>
      <w:r w:rsidRPr="001A0E92">
        <w:t>、</w:t>
      </w:r>
      <w:r w:rsidRPr="001A0E92">
        <w:t>Nitra</w:t>
      </w:r>
      <w:r w:rsidRPr="001A0E92">
        <w:t>省</w:t>
      </w:r>
      <w:r w:rsidR="004F0E9D" w:rsidRPr="001A0E92">
        <w:rPr>
          <w:rFonts w:hint="eastAsia"/>
        </w:rPr>
        <w:t>（</w:t>
      </w:r>
      <w:r w:rsidRPr="001A0E92">
        <w:t>19%</w:t>
      </w:r>
      <w:r w:rsidR="004F0E9D" w:rsidRPr="001A0E92">
        <w:rPr>
          <w:rFonts w:hint="eastAsia"/>
        </w:rPr>
        <w:t>）</w:t>
      </w:r>
      <w:r w:rsidRPr="001A0E92">
        <w:t>、</w:t>
      </w:r>
      <w:r w:rsidRPr="001A0E92">
        <w:t>Zilina</w:t>
      </w:r>
      <w:r w:rsidRPr="001A0E92">
        <w:t>省</w:t>
      </w:r>
      <w:r w:rsidR="004F0E9D" w:rsidRPr="001A0E92">
        <w:rPr>
          <w:rFonts w:hint="eastAsia"/>
        </w:rPr>
        <w:t>（</w:t>
      </w:r>
      <w:r w:rsidRPr="001A0E92">
        <w:t>16%</w:t>
      </w:r>
      <w:r w:rsidR="004F0E9D" w:rsidRPr="001A0E92">
        <w:rPr>
          <w:rFonts w:hint="eastAsia"/>
        </w:rPr>
        <w:t>）</w:t>
      </w:r>
      <w:r w:rsidRPr="001A0E92">
        <w:t>、</w:t>
      </w:r>
      <w:r w:rsidRPr="001A0E92">
        <w:t>Trnava</w:t>
      </w:r>
      <w:r w:rsidRPr="001A0E92">
        <w:t>省</w:t>
      </w:r>
      <w:r w:rsidR="004F0E9D" w:rsidRPr="001A0E92">
        <w:rPr>
          <w:rFonts w:hint="eastAsia"/>
        </w:rPr>
        <w:t>（</w:t>
      </w:r>
      <w:r w:rsidRPr="001A0E92">
        <w:t>10%</w:t>
      </w:r>
      <w:r w:rsidR="004F0E9D" w:rsidRPr="001A0E92">
        <w:rPr>
          <w:rFonts w:hint="eastAsia"/>
        </w:rPr>
        <w:t>）</w:t>
      </w:r>
      <w:r w:rsidRPr="001A0E92">
        <w:t>、</w:t>
      </w:r>
      <w:r w:rsidRPr="001A0E92">
        <w:t>Presov</w:t>
      </w:r>
      <w:r w:rsidRPr="001A0E92">
        <w:t>省</w:t>
      </w:r>
      <w:r w:rsidR="004F0E9D" w:rsidRPr="001A0E92">
        <w:rPr>
          <w:rFonts w:hint="eastAsia"/>
        </w:rPr>
        <w:t>（</w:t>
      </w:r>
      <w:r w:rsidRPr="001A0E92">
        <w:t>8%</w:t>
      </w:r>
      <w:r w:rsidR="004F0E9D" w:rsidRPr="001A0E92">
        <w:rPr>
          <w:rFonts w:hint="eastAsia"/>
        </w:rPr>
        <w:t>）</w:t>
      </w:r>
      <w:r w:rsidRPr="001A0E92">
        <w:t>、</w:t>
      </w:r>
      <w:r w:rsidRPr="001A0E92">
        <w:t>Bratislava</w:t>
      </w:r>
      <w:r w:rsidRPr="001A0E92">
        <w:t>省</w:t>
      </w:r>
      <w:r w:rsidR="004F0E9D" w:rsidRPr="001A0E92">
        <w:rPr>
          <w:rFonts w:hint="eastAsia"/>
        </w:rPr>
        <w:t>（</w:t>
      </w:r>
      <w:r w:rsidRPr="001A0E92">
        <w:t>6%</w:t>
      </w:r>
      <w:r w:rsidR="004F0E9D" w:rsidRPr="001A0E92">
        <w:rPr>
          <w:rFonts w:hint="eastAsia"/>
        </w:rPr>
        <w:t>）</w:t>
      </w:r>
      <w:r w:rsidRPr="001A0E92">
        <w:t>、</w:t>
      </w:r>
      <w:r w:rsidRPr="001A0E92">
        <w:t>Kosice</w:t>
      </w:r>
      <w:r w:rsidRPr="001A0E92">
        <w:t>省</w:t>
      </w:r>
      <w:r w:rsidR="004F0E9D" w:rsidRPr="001A0E92">
        <w:rPr>
          <w:rFonts w:hint="eastAsia"/>
        </w:rPr>
        <w:t>（</w:t>
      </w:r>
      <w:r w:rsidRPr="001A0E92">
        <w:t>6%</w:t>
      </w:r>
      <w:r w:rsidRPr="001A0E92">
        <w:t>，例日商</w:t>
      </w:r>
      <w:r w:rsidRPr="001A0E92">
        <w:t>Minebea Mitsumi</w:t>
      </w:r>
      <w:r w:rsidR="004F0E9D" w:rsidRPr="001A0E92">
        <w:rPr>
          <w:rFonts w:hint="eastAsia"/>
        </w:rPr>
        <w:t>）</w:t>
      </w:r>
      <w:r w:rsidRPr="001A0E92">
        <w:t>、</w:t>
      </w:r>
      <w:r w:rsidRPr="001A0E92">
        <w:t>Banska Bystrica</w:t>
      </w:r>
      <w:r w:rsidRPr="001A0E92">
        <w:t>省</w:t>
      </w:r>
      <w:r w:rsidR="004F0E9D" w:rsidRPr="001A0E92">
        <w:rPr>
          <w:rFonts w:hint="eastAsia"/>
        </w:rPr>
        <w:t>（</w:t>
      </w:r>
      <w:r w:rsidRPr="001A0E92">
        <w:t>5%</w:t>
      </w:r>
      <w:r w:rsidR="004F0E9D" w:rsidRPr="001A0E92">
        <w:rPr>
          <w:rFonts w:hint="eastAsia"/>
        </w:rPr>
        <w:t>）</w:t>
      </w:r>
      <w:r w:rsidRPr="001A0E92">
        <w:t>等。</w:t>
      </w:r>
    </w:p>
    <w:p w:rsidR="00950597" w:rsidRPr="001A0E92" w:rsidRDefault="00950597" w:rsidP="00181F63">
      <w:pPr>
        <w:pStyle w:val="af9"/>
        <w:ind w:left="944" w:firstLine="472"/>
      </w:pPr>
      <w:r w:rsidRPr="001A0E92">
        <w:t>斯國之研發機構及公協會平臺：</w:t>
      </w:r>
    </w:p>
    <w:p w:rsidR="00950597" w:rsidRPr="001A0E92" w:rsidRDefault="00181F63" w:rsidP="00181F63">
      <w:pPr>
        <w:pStyle w:val="afb"/>
        <w:ind w:left="1416" w:hanging="472"/>
      </w:pPr>
      <w:r w:rsidRPr="001A0E92">
        <w:rPr>
          <w:rFonts w:hint="eastAsia"/>
        </w:rPr>
        <w:t>１、</w:t>
      </w:r>
      <w:r w:rsidR="00950597" w:rsidRPr="001A0E92">
        <w:t>Kosice</w:t>
      </w:r>
      <w:r w:rsidR="00950597" w:rsidRPr="001A0E92">
        <w:t>科技大學附設</w:t>
      </w:r>
      <w:r w:rsidR="00950597" w:rsidRPr="001A0E92">
        <w:t>TECHNICM</w:t>
      </w:r>
      <w:r w:rsidR="00950597" w:rsidRPr="001A0E92">
        <w:t>科學園區：設有電子創新之工程及驗證實驗室，專精</w:t>
      </w:r>
      <w:r w:rsidR="00950597" w:rsidRPr="001A0E92">
        <w:t>UWB</w:t>
      </w:r>
      <w:r w:rsidR="00950597" w:rsidRPr="001A0E92">
        <w:t>感應科技、電機執行器系統等電子工程、自動化及控制系統之設計。</w:t>
      </w:r>
    </w:p>
    <w:p w:rsidR="00950597" w:rsidRPr="001A0E92" w:rsidRDefault="00181F63" w:rsidP="00181F63">
      <w:pPr>
        <w:pStyle w:val="afb"/>
        <w:ind w:left="1416" w:hanging="472"/>
      </w:pPr>
      <w:r w:rsidRPr="001A0E92">
        <w:rPr>
          <w:rFonts w:hint="eastAsia"/>
        </w:rPr>
        <w:t>２、</w:t>
      </w:r>
      <w:r w:rsidR="00950597" w:rsidRPr="001A0E92">
        <w:t>Bratislava</w:t>
      </w:r>
      <w:r w:rsidR="00950597" w:rsidRPr="001A0E92">
        <w:t>科技大學附設國家機器人中心：專精於智慧控制方式及機器人之研發，包含行動機器人、服務型機器人、工業機器人、醫療機器人。</w:t>
      </w:r>
    </w:p>
    <w:p w:rsidR="00950597" w:rsidRPr="001A0E92" w:rsidRDefault="00181F63" w:rsidP="00181F63">
      <w:pPr>
        <w:pStyle w:val="afb"/>
        <w:ind w:left="1416" w:hanging="472"/>
      </w:pPr>
      <w:r w:rsidRPr="001A0E92">
        <w:rPr>
          <w:rFonts w:hint="eastAsia"/>
        </w:rPr>
        <w:t>３、</w:t>
      </w:r>
      <w:r w:rsidR="00950597" w:rsidRPr="001A0E92">
        <w:t>電子科技工業協會</w:t>
      </w:r>
      <w:r w:rsidR="004F0E9D" w:rsidRPr="001A0E92">
        <w:rPr>
          <w:rFonts w:hint="eastAsia"/>
        </w:rPr>
        <w:t>（</w:t>
      </w:r>
      <w:r w:rsidR="00950597" w:rsidRPr="001A0E92">
        <w:t>ZEP SR</w:t>
      </w:r>
      <w:r w:rsidR="004F0E9D" w:rsidRPr="001A0E92">
        <w:rPr>
          <w:rFonts w:hint="eastAsia"/>
        </w:rPr>
        <w:t>）</w:t>
      </w:r>
      <w:r w:rsidR="00950597" w:rsidRPr="001A0E92">
        <w:t>：超過</w:t>
      </w:r>
      <w:r w:rsidR="00950597" w:rsidRPr="001A0E92">
        <w:t>100</w:t>
      </w:r>
      <w:r w:rsidR="00950597" w:rsidRPr="001A0E92">
        <w:t>家電子工程、電子、資訊等產業之會員。協助促成與科技大學之研發合作。</w:t>
      </w:r>
    </w:p>
    <w:p w:rsidR="00950597" w:rsidRPr="001A0E92" w:rsidRDefault="00181F63" w:rsidP="00181F63">
      <w:pPr>
        <w:pStyle w:val="afb"/>
        <w:ind w:left="1416" w:hanging="472"/>
      </w:pPr>
      <w:r w:rsidRPr="001A0E92">
        <w:rPr>
          <w:rFonts w:hint="eastAsia"/>
        </w:rPr>
        <w:t>４、</w:t>
      </w:r>
      <w:r w:rsidR="00950597" w:rsidRPr="001A0E92">
        <w:t>科學院</w:t>
      </w:r>
      <w:r w:rsidR="004F0E9D" w:rsidRPr="001A0E92">
        <w:rPr>
          <w:rFonts w:hint="eastAsia"/>
        </w:rPr>
        <w:t>（</w:t>
      </w:r>
      <w:r w:rsidR="00950597" w:rsidRPr="001A0E92">
        <w:t>SAS</w:t>
      </w:r>
      <w:r w:rsidR="004F0E9D" w:rsidRPr="001A0E92">
        <w:rPr>
          <w:rFonts w:hint="eastAsia"/>
        </w:rPr>
        <w:t>）</w:t>
      </w:r>
      <w:r w:rsidR="00950597" w:rsidRPr="001A0E92">
        <w:t>電機工程所：專研奈米物理科技、</w:t>
      </w:r>
      <w:r w:rsidR="00950597" w:rsidRPr="001A0E92">
        <w:t>III-V</w:t>
      </w:r>
      <w:r w:rsidR="00950597" w:rsidRPr="001A0E92">
        <w:t>複合半導體、微電子感應器及偵測器、超導應用等。</w:t>
      </w:r>
    </w:p>
    <w:p w:rsidR="00950597" w:rsidRPr="001A0E92" w:rsidRDefault="004F0E9D" w:rsidP="00181F63">
      <w:pPr>
        <w:pStyle w:val="af8"/>
        <w:ind w:left="944" w:hanging="708"/>
      </w:pPr>
      <w:r w:rsidRPr="001A0E92">
        <w:rPr>
          <w:rFonts w:hint="eastAsia"/>
        </w:rPr>
        <w:t>（</w:t>
      </w:r>
      <w:r w:rsidR="00950597" w:rsidRPr="001A0E92">
        <w:t>三</w:t>
      </w:r>
      <w:r w:rsidRPr="001A0E92">
        <w:rPr>
          <w:rFonts w:hint="eastAsia"/>
        </w:rPr>
        <w:t>）</w:t>
      </w:r>
      <w:r w:rsidR="00950597" w:rsidRPr="001A0E92">
        <w:t>商業服務中心</w:t>
      </w:r>
      <w:r w:rsidRPr="001A0E92">
        <w:rPr>
          <w:rFonts w:hint="eastAsia"/>
        </w:rPr>
        <w:t>（</w:t>
      </w:r>
      <w:r w:rsidR="00950597" w:rsidRPr="001A0E92">
        <w:t>Business Service Center, BSCs</w:t>
      </w:r>
      <w:r w:rsidRPr="001A0E92">
        <w:rPr>
          <w:rFonts w:hint="eastAsia"/>
        </w:rPr>
        <w:t>）</w:t>
      </w:r>
    </w:p>
    <w:p w:rsidR="00950597" w:rsidRPr="001A0E92" w:rsidRDefault="00950597" w:rsidP="00181F63">
      <w:pPr>
        <w:pStyle w:val="af9"/>
        <w:ind w:left="944" w:firstLine="472"/>
      </w:pPr>
      <w:r w:rsidRPr="001A0E92">
        <w:t>BSC</w:t>
      </w:r>
      <w:r w:rsidRPr="001A0E92">
        <w:t>在斯國發展至今已從單純電話客服或將數字輸入到</w:t>
      </w:r>
      <w:r w:rsidRPr="001A0E92">
        <w:t>Excel</w:t>
      </w:r>
      <w:r w:rsidRPr="001A0E92">
        <w:t>圖表中的服務，發展至財務支援、訂單處理等更多領域，其對於集團總部所發揮的複雜工作執行功能，支援集團區域甚至全球業務。以僱用人數及納稅金額計算，</w:t>
      </w:r>
      <w:r w:rsidRPr="001A0E92">
        <w:t>BSCs</w:t>
      </w:r>
      <w:r w:rsidRPr="001A0E92">
        <w:t>為斯國僅次於汽車及電子業的第三大產業。重要投資來源之一為美商跨國企業。</w:t>
      </w:r>
    </w:p>
    <w:p w:rsidR="00950597" w:rsidRPr="001A0E92" w:rsidRDefault="00950597" w:rsidP="00181F63">
      <w:pPr>
        <w:pStyle w:val="af9"/>
        <w:ind w:left="944" w:firstLine="472"/>
      </w:pPr>
      <w:r w:rsidRPr="001A0E92">
        <w:t>美國商會在斯國設有</w:t>
      </w:r>
      <w:r w:rsidRPr="001A0E92">
        <w:t>BSC</w:t>
      </w:r>
      <w:r w:rsidRPr="001A0E92">
        <w:t>論壇</w:t>
      </w:r>
      <w:r w:rsidR="004F0E9D" w:rsidRPr="001A0E92">
        <w:rPr>
          <w:rFonts w:hint="eastAsia"/>
        </w:rPr>
        <w:t>（</w:t>
      </w:r>
      <w:r w:rsidRPr="001A0E92">
        <w:t>BSCF</w:t>
      </w:r>
      <w:r w:rsidR="004F0E9D" w:rsidRPr="001A0E92">
        <w:rPr>
          <w:rFonts w:hint="eastAsia"/>
        </w:rPr>
        <w:t>）</w:t>
      </w:r>
      <w:r w:rsidRPr="001A0E92">
        <w:t>，再細分共享服務中心</w:t>
      </w:r>
      <w:r w:rsidR="004F0E9D" w:rsidRPr="001A0E92">
        <w:rPr>
          <w:rFonts w:hint="eastAsia"/>
        </w:rPr>
        <w:t>（</w:t>
      </w:r>
      <w:r w:rsidRPr="001A0E92">
        <w:t>SSC</w:t>
      </w:r>
      <w:r w:rsidR="004F0E9D" w:rsidRPr="001A0E92">
        <w:rPr>
          <w:rFonts w:hint="eastAsia"/>
        </w:rPr>
        <w:t>）</w:t>
      </w:r>
      <w:r w:rsidRPr="001A0E92">
        <w:t>和業務流程外包</w:t>
      </w:r>
      <w:r w:rsidR="004F0E9D" w:rsidRPr="001A0E92">
        <w:rPr>
          <w:rFonts w:hint="eastAsia"/>
        </w:rPr>
        <w:t>（</w:t>
      </w:r>
      <w:r w:rsidRPr="001A0E92">
        <w:t>BPO</w:t>
      </w:r>
      <w:r w:rsidR="004F0E9D" w:rsidRPr="001A0E92">
        <w:rPr>
          <w:rFonts w:hint="eastAsia"/>
        </w:rPr>
        <w:t>）</w:t>
      </w:r>
      <w:r w:rsidRPr="001A0E92">
        <w:t>服務商兩類，計</w:t>
      </w:r>
      <w:r w:rsidRPr="001A0E92">
        <w:t>35</w:t>
      </w:r>
      <w:r w:rsidRPr="001A0E92">
        <w:t>家公司，已占全國</w:t>
      </w:r>
      <w:r w:rsidRPr="001A0E92">
        <w:t>BSCs</w:t>
      </w:r>
      <w:r w:rsidRPr="001A0E92">
        <w:t>約</w:t>
      </w:r>
      <w:r w:rsidRPr="001A0E92">
        <w:t>92%</w:t>
      </w:r>
      <w:r w:rsidRPr="001A0E92">
        <w:t>。</w:t>
      </w:r>
    </w:p>
    <w:p w:rsidR="00950597" w:rsidRPr="001A0E92" w:rsidRDefault="00950597" w:rsidP="00181F63">
      <w:pPr>
        <w:pStyle w:val="af9"/>
        <w:ind w:left="944" w:firstLine="472"/>
      </w:pPr>
      <w:r w:rsidRPr="001A0E92">
        <w:t>根據美國商會調查，</w:t>
      </w:r>
      <w:r w:rsidRPr="001A0E92">
        <w:t>BSCs</w:t>
      </w:r>
      <w:r w:rsidR="005A5E4E" w:rsidRPr="001A0E92">
        <w:t>僱用</w:t>
      </w:r>
      <w:r w:rsidRPr="001A0E92">
        <w:t>員工人數</w:t>
      </w:r>
      <w:r w:rsidRPr="001A0E92">
        <w:t>3</w:t>
      </w:r>
      <w:r w:rsidRPr="001A0E92">
        <w:t>萬</w:t>
      </w:r>
      <w:r w:rsidRPr="001A0E92">
        <w:t>9</w:t>
      </w:r>
      <w:r w:rsidR="004F0E9D" w:rsidRPr="001A0E92">
        <w:t>,000</w:t>
      </w:r>
      <w:r w:rsidRPr="001A0E92">
        <w:t>人，每年支付的企業和員工所得稅及其他稅捐約為</w:t>
      </w:r>
      <w:r w:rsidRPr="001A0E92">
        <w:t>10</w:t>
      </w:r>
      <w:r w:rsidRPr="001A0E92">
        <w:t>億歐元。以營收金額排序，斯國前</w:t>
      </w:r>
      <w:r w:rsidRPr="001A0E92">
        <w:t>5</w:t>
      </w:r>
      <w:r w:rsidRPr="001A0E92">
        <w:t>大的</w:t>
      </w:r>
      <w:r w:rsidRPr="001A0E92">
        <w:t>BSC</w:t>
      </w:r>
      <w:r w:rsidRPr="001A0E92">
        <w:t>為</w:t>
      </w:r>
      <w:r w:rsidRPr="001A0E92">
        <w:t>IBM</w:t>
      </w:r>
      <w:r w:rsidRPr="001A0E92">
        <w:t>國際服務中心、</w:t>
      </w:r>
      <w:r w:rsidRPr="001A0E92">
        <w:t>AT&amp;T</w:t>
      </w:r>
      <w:r w:rsidRPr="001A0E92">
        <w:t>全球網路服務、德國電信</w:t>
      </w:r>
      <w:r w:rsidR="004F0E9D" w:rsidRPr="001A0E92">
        <w:rPr>
          <w:rFonts w:hint="eastAsia"/>
        </w:rPr>
        <w:t>（</w:t>
      </w:r>
      <w:r w:rsidRPr="001A0E92">
        <w:t>Deutsche Telekom</w:t>
      </w:r>
      <w:r w:rsidR="004F0E9D" w:rsidRPr="001A0E92">
        <w:rPr>
          <w:rFonts w:hint="eastAsia"/>
        </w:rPr>
        <w:t>）</w:t>
      </w:r>
      <w:r w:rsidRPr="001A0E92">
        <w:t>、</w:t>
      </w:r>
      <w:r w:rsidRPr="001A0E92">
        <w:t>Dell</w:t>
      </w:r>
      <w:r w:rsidRPr="001A0E92">
        <w:t>電腦、</w:t>
      </w:r>
      <w:r w:rsidRPr="001A0E92">
        <w:t>Accenture</w:t>
      </w:r>
      <w:r w:rsidRPr="001A0E92">
        <w:t>先進科技中心等。</w:t>
      </w:r>
    </w:p>
    <w:p w:rsidR="00950597" w:rsidRPr="001A0E92" w:rsidRDefault="00950597" w:rsidP="00181F63">
      <w:pPr>
        <w:pStyle w:val="af9"/>
        <w:ind w:left="944" w:firstLine="472"/>
      </w:pPr>
      <w:r w:rsidRPr="001A0E92">
        <w:t>斯國擁有大量的超大型</w:t>
      </w:r>
      <w:r w:rsidRPr="001A0E92">
        <w:t>BSC</w:t>
      </w:r>
      <w:r w:rsidRPr="001A0E92">
        <w:t>，許多</w:t>
      </w:r>
      <w:r w:rsidRPr="001A0E92">
        <w:t>BSC</w:t>
      </w:r>
      <w:r w:rsidRPr="001A0E92">
        <w:t>員工人數超過</w:t>
      </w:r>
      <w:r w:rsidRPr="001A0E92">
        <w:t>1,000</w:t>
      </w:r>
      <w:r w:rsidRPr="001A0E92">
        <w:t>人，大多數位於首都</w:t>
      </w:r>
      <w:r w:rsidRPr="001A0E92">
        <w:t>Bratislava</w:t>
      </w:r>
      <w:r w:rsidRPr="001A0E92">
        <w:t>和第二大城</w:t>
      </w:r>
      <w:r w:rsidRPr="001A0E92">
        <w:t>Kosice</w:t>
      </w:r>
      <w:r w:rsidRPr="001A0E92">
        <w:t>，但亦有設於其他二、三線城市如</w:t>
      </w:r>
      <w:r w:rsidRPr="001A0E92">
        <w:t>Nitra, Zilina, Presov</w:t>
      </w:r>
      <w:r w:rsidRPr="001A0E92">
        <w:t>等。員工平均年齡為</w:t>
      </w:r>
      <w:r w:rsidRPr="001A0E92">
        <w:t>36</w:t>
      </w:r>
      <w:r w:rsidRPr="001A0E92">
        <w:t>歲，有</w:t>
      </w:r>
      <w:r w:rsidRPr="001A0E92">
        <w:t>9.2%</w:t>
      </w:r>
      <w:r w:rsidRPr="001A0E92">
        <w:t>擔任管理職，</w:t>
      </w:r>
      <w:r w:rsidRPr="001A0E92">
        <w:t>70%</w:t>
      </w:r>
      <w:r w:rsidRPr="001A0E92">
        <w:t>以上的員工擁有大學學歷；員工多半為斯國人，</w:t>
      </w:r>
      <w:r w:rsidRPr="001A0E92">
        <w:t>11%</w:t>
      </w:r>
      <w:r w:rsidRPr="001A0E92">
        <w:t>員工為歐盟以外的第三國國籍人士。</w:t>
      </w:r>
    </w:p>
    <w:p w:rsidR="00950597" w:rsidRPr="001A0E92" w:rsidRDefault="00950597" w:rsidP="00181F63">
      <w:pPr>
        <w:pStyle w:val="af9"/>
        <w:ind w:left="944" w:firstLine="472"/>
      </w:pPr>
      <w:r w:rsidRPr="001A0E92">
        <w:t>舉代表性的大廠為例說明如下</w:t>
      </w:r>
      <w:r w:rsidR="00181F63" w:rsidRPr="001A0E92">
        <w:rPr>
          <w:rFonts w:hint="eastAsia"/>
        </w:rPr>
        <w:t>：</w:t>
      </w:r>
      <w:r w:rsidRPr="001A0E92">
        <w:t>IBM</w:t>
      </w:r>
      <w:r w:rsidRPr="001A0E92">
        <w:t>表示，</w:t>
      </w:r>
      <w:r w:rsidRPr="001A0E92">
        <w:t>Bratislava</w:t>
      </w:r>
      <w:r w:rsidRPr="001A0E92">
        <w:t>被認為戰略位置佳且可提供穩定的服務，</w:t>
      </w:r>
      <w:r w:rsidRPr="001A0E92">
        <w:t>IBM</w:t>
      </w:r>
      <w:r w:rsidRPr="001A0E92">
        <w:t>曾嘗試轉移到其他地點，但最終又搬回了斯洛伐克。</w:t>
      </w:r>
      <w:r w:rsidRPr="001A0E92">
        <w:t>Dell</w:t>
      </w:r>
      <w:r w:rsidRPr="001A0E92">
        <w:t>於</w:t>
      </w:r>
      <w:r w:rsidRPr="001A0E92">
        <w:t>Bratislava</w:t>
      </w:r>
      <w:r w:rsidRPr="001A0E92">
        <w:t>的</w:t>
      </w:r>
      <w:r w:rsidRPr="001A0E92">
        <w:t>BSC</w:t>
      </w:r>
      <w:r w:rsidRPr="001A0E92">
        <w:t>是該公司於歐洲、中東和非洲地區最大的商業中心，提供</w:t>
      </w:r>
      <w:r w:rsidRPr="001A0E92">
        <w:t>AI</w:t>
      </w:r>
      <w:r w:rsidRPr="001A0E92">
        <w:t>、機器學習、神經網絡、深度學習、預測分析、大規模商業智能等服務，</w:t>
      </w:r>
      <w:r w:rsidRPr="001A0E92">
        <w:t>Dell</w:t>
      </w:r>
      <w:r w:rsidRPr="001A0E92">
        <w:t>並於斯國成立數據服務卓越中心。</w:t>
      </w:r>
      <w:r w:rsidRPr="001A0E92">
        <w:t>Henkel Slovensko</w:t>
      </w:r>
      <w:r w:rsidRPr="001A0E92">
        <w:t>位於</w:t>
      </w:r>
      <w:r w:rsidRPr="001A0E92">
        <w:t>Bratislava</w:t>
      </w:r>
      <w:r w:rsidRPr="001A0E92">
        <w:t>的</w:t>
      </w:r>
      <w:r w:rsidRPr="001A0E92">
        <w:t>BSCs</w:t>
      </w:r>
      <w:r w:rsidRPr="001A0E92">
        <w:t>亦為該公司最大的全球業務解決方案基地，基於斯國位置優勢，在此設立卓越中心，專司自動化、機器人、</w:t>
      </w:r>
      <w:r w:rsidRPr="001A0E92">
        <w:t>AI</w:t>
      </w:r>
      <w:r w:rsidRPr="001A0E92">
        <w:t>及採購等業務。</w:t>
      </w:r>
    </w:p>
    <w:p w:rsidR="00950597" w:rsidRPr="001A0E92" w:rsidRDefault="00950597" w:rsidP="00181F63">
      <w:pPr>
        <w:pStyle w:val="af9"/>
        <w:ind w:left="944" w:firstLine="472"/>
      </w:pPr>
      <w:r w:rsidRPr="001A0E92">
        <w:t>另根據</w:t>
      </w:r>
      <w:r w:rsidRPr="001A0E92">
        <w:t>Deloitte</w:t>
      </w:r>
      <w:r w:rsidRPr="001A0E92">
        <w:t>顧問公司</w:t>
      </w:r>
      <w:r w:rsidRPr="001A0E92">
        <w:t>2022</w:t>
      </w:r>
      <w:r w:rsidRPr="001A0E92">
        <w:t>年分析中東歐國家</w:t>
      </w:r>
      <w:r w:rsidRPr="001A0E92">
        <w:t>BSCs</w:t>
      </w:r>
      <w:r w:rsidRPr="001A0E92">
        <w:t>之發展報告指出，在斯國的</w:t>
      </w:r>
      <w:r w:rsidRPr="001A0E92">
        <w:t>BSC</w:t>
      </w:r>
      <w:r w:rsidRPr="001A0E92">
        <w:t>產業倘要繼續成長並保有競爭力，必須專注在高附加價值業務，導入創新科技，例如</w:t>
      </w:r>
      <w:r w:rsidRPr="001A0E92">
        <w:t>IT</w:t>
      </w:r>
      <w:r w:rsidRPr="001A0E92">
        <w:t>及自動化稽控，以客戶導向為發展重點。分析如下</w:t>
      </w:r>
      <w:r w:rsidR="00181F63" w:rsidRPr="001A0E92">
        <w:rPr>
          <w:rFonts w:hint="eastAsia"/>
        </w:rPr>
        <w:t>：</w:t>
      </w:r>
    </w:p>
    <w:p w:rsidR="00950597" w:rsidRPr="001A0E92" w:rsidRDefault="00181F63" w:rsidP="00181F63">
      <w:pPr>
        <w:pStyle w:val="afb"/>
        <w:ind w:left="1416" w:hanging="472"/>
      </w:pPr>
      <w:r w:rsidRPr="001A0E92">
        <w:t>１</w:t>
      </w:r>
      <w:r w:rsidRPr="001A0E92">
        <w:rPr>
          <w:rFonts w:hint="eastAsia"/>
        </w:rPr>
        <w:t>、</w:t>
      </w:r>
      <w:r w:rsidR="00950597" w:rsidRPr="001A0E92">
        <w:t>斯國在自動化加工、支持企業資源計畫</w:t>
      </w:r>
      <w:r w:rsidR="004F0E9D" w:rsidRPr="001A0E92">
        <w:rPr>
          <w:rFonts w:hint="eastAsia"/>
        </w:rPr>
        <w:t>（</w:t>
      </w:r>
      <w:r w:rsidR="00950597" w:rsidRPr="001A0E92">
        <w:t>ERP</w:t>
      </w:r>
      <w:r w:rsidR="004F0E9D" w:rsidRPr="001A0E92">
        <w:rPr>
          <w:rFonts w:hint="eastAsia"/>
        </w:rPr>
        <w:t>）</w:t>
      </w:r>
      <w:r w:rsidR="00950597" w:rsidRPr="001A0E92">
        <w:t>、資料分析及雲端解決方案等方面的科技創新中心都有相當發展機會；相較於菲律賓、馬來西亞、印度等亞洲國家，斯國享有屬歐盟成員國及適用</w:t>
      </w:r>
      <w:r w:rsidR="00950597" w:rsidRPr="001A0E92">
        <w:t>GDPR</w:t>
      </w:r>
      <w:r w:rsidR="00950597" w:rsidRPr="001A0E92">
        <w:t>規定的優勢。</w:t>
      </w:r>
    </w:p>
    <w:p w:rsidR="00950597" w:rsidRPr="001A0E92" w:rsidRDefault="00181F63" w:rsidP="00181F63">
      <w:pPr>
        <w:pStyle w:val="afb"/>
        <w:ind w:left="1416" w:hanging="472"/>
      </w:pPr>
      <w:r w:rsidRPr="001A0E92">
        <w:t>２</w:t>
      </w:r>
      <w:r w:rsidRPr="001A0E92">
        <w:rPr>
          <w:rFonts w:hint="eastAsia"/>
        </w:rPr>
        <w:t>、</w:t>
      </w:r>
      <w:r w:rsidR="00950597" w:rsidRPr="001A0E92">
        <w:t>與其他中東歐國家相比，斯國稅率及營運成本為</w:t>
      </w:r>
      <w:r w:rsidR="00950597" w:rsidRPr="001A0E92">
        <w:t>V4</w:t>
      </w:r>
      <w:r w:rsidR="00950597" w:rsidRPr="001A0E92">
        <w:t>國家最高、斯國亦有相對較高的工資及健保費負擔、捷克及匈牙利的投資獎勵措施較斯國優惠、羅馬尼亞及匈牙利的法遵成本較斯國低。所以斯國的</w:t>
      </w:r>
      <w:r w:rsidR="00950597" w:rsidRPr="001A0E92">
        <w:t>BSC</w:t>
      </w:r>
      <w:r w:rsidR="00950597" w:rsidRPr="001A0E92">
        <w:t>產業在</w:t>
      </w:r>
      <w:r w:rsidR="00950597" w:rsidRPr="001A0E92">
        <w:t>V4</w:t>
      </w:r>
      <w:r w:rsidR="00950597" w:rsidRPr="001A0E92">
        <w:t>中規模最小；捷克人口雖僅斯國</w:t>
      </w:r>
      <w:r w:rsidR="00950597" w:rsidRPr="001A0E92">
        <w:t>2</w:t>
      </w:r>
      <w:r w:rsidR="00950597" w:rsidRPr="001A0E92">
        <w:t>倍，其</w:t>
      </w:r>
      <w:r w:rsidR="00950597" w:rsidRPr="001A0E92">
        <w:t>BSC</w:t>
      </w:r>
      <w:r w:rsidR="00950597" w:rsidRPr="001A0E92">
        <w:t>規模已達斯國的</w:t>
      </w:r>
      <w:r w:rsidR="00950597" w:rsidRPr="001A0E92">
        <w:t>3</w:t>
      </w:r>
      <w:r w:rsidR="00950597" w:rsidRPr="001A0E92">
        <w:t>倍；在跨國企業在中東歐地區選擇投資地點評比時，波蘭、捷克、匈牙利、甚至是羅馬尼亞均較斯國易雀屏中選。</w:t>
      </w:r>
    </w:p>
    <w:p w:rsidR="00950597" w:rsidRPr="001A0E92" w:rsidRDefault="004F0E9D" w:rsidP="00181F63">
      <w:pPr>
        <w:pStyle w:val="af8"/>
        <w:ind w:left="944" w:hanging="708"/>
      </w:pPr>
      <w:r w:rsidRPr="001A0E92">
        <w:rPr>
          <w:rFonts w:hint="eastAsia"/>
        </w:rPr>
        <w:t>（</w:t>
      </w:r>
      <w:r w:rsidR="00950597" w:rsidRPr="001A0E92">
        <w:t>四</w:t>
      </w:r>
      <w:r w:rsidRPr="001A0E92">
        <w:rPr>
          <w:rFonts w:hint="eastAsia"/>
        </w:rPr>
        <w:t>）</w:t>
      </w:r>
      <w:r w:rsidR="00950597" w:rsidRPr="001A0E92">
        <w:t>機械設備產業</w:t>
      </w:r>
    </w:p>
    <w:p w:rsidR="00950597" w:rsidRPr="001A0E92" w:rsidRDefault="00950597" w:rsidP="00181F63">
      <w:pPr>
        <w:pStyle w:val="af9"/>
        <w:ind w:left="944" w:firstLine="472"/>
      </w:pPr>
      <w:r w:rsidRPr="001A0E92">
        <w:t>機械設備產業為斯洛伐克經濟重要支柱之一，因於產業之應用廣泛，斯國業者產品或系統領域包括國防之防禦系統、運輸工具、液壓系統及壓縮機、食品加工機器、金屬成型機械、生產線設備、變速箱、火車車廂等。機械設備產業不僅對斯國</w:t>
      </w:r>
      <w:r w:rsidRPr="001A0E92">
        <w:t>GDP</w:t>
      </w:r>
      <w:r w:rsidRPr="001A0E92">
        <w:t>及對外貿易有重要貢獻，也有助促進整體就業。</w:t>
      </w:r>
    </w:p>
    <w:p w:rsidR="00950597" w:rsidRPr="001A0E92" w:rsidRDefault="00950597" w:rsidP="00181F63">
      <w:pPr>
        <w:pStyle w:val="af9"/>
        <w:ind w:left="944" w:firstLine="472"/>
      </w:pPr>
      <w:r w:rsidRPr="001A0E92">
        <w:t>斯洛伐克在機械領域有光榮的發明歷史，舉凡降落傘、礦區抽水馬達機械、蒸氣瓦斯渦輪、直昇機</w:t>
      </w:r>
      <w:r w:rsidR="004F0E9D" w:rsidRPr="001A0E92">
        <w:rPr>
          <w:rFonts w:hint="eastAsia"/>
        </w:rPr>
        <w:t>（</w:t>
      </w:r>
      <w:r w:rsidRPr="001A0E92">
        <w:t>1895</w:t>
      </w:r>
      <w:r w:rsidRPr="001A0E92">
        <w:t>年登記專利</w:t>
      </w:r>
      <w:r w:rsidR="004F0E9D" w:rsidRPr="001A0E92">
        <w:rPr>
          <w:rFonts w:hint="eastAsia"/>
        </w:rPr>
        <w:t>）</w:t>
      </w:r>
      <w:r w:rsidRPr="001A0E92">
        <w:t>等均是斯國的發明。</w:t>
      </w:r>
    </w:p>
    <w:p w:rsidR="00950597" w:rsidRPr="001A0E92" w:rsidRDefault="00950597" w:rsidP="00181F63">
      <w:pPr>
        <w:pStyle w:val="af9"/>
        <w:ind w:left="944" w:firstLine="472"/>
      </w:pPr>
      <w:r w:rsidRPr="001A0E92">
        <w:t>目前斯國機械設備產業情形重點如下</w:t>
      </w:r>
      <w:r w:rsidR="005A5E4E" w:rsidRPr="001A0E92">
        <w:rPr>
          <w:rFonts w:hint="eastAsia"/>
        </w:rPr>
        <w:t>：</w:t>
      </w:r>
      <w:r w:rsidRPr="001A0E92">
        <w:t>受僱人數占工業界勞工</w:t>
      </w:r>
      <w:r w:rsidRPr="001A0E92">
        <w:t>39%</w:t>
      </w:r>
      <w:r w:rsidRPr="001A0E92">
        <w:t>、公司家數達</w:t>
      </w:r>
      <w:r w:rsidRPr="001A0E92">
        <w:t>920</w:t>
      </w:r>
      <w:r w:rsidRPr="001A0E92">
        <w:t>家、總產值達</w:t>
      </w:r>
      <w:r w:rsidRPr="001A0E92">
        <w:t>420</w:t>
      </w:r>
      <w:r w:rsidRPr="001A0E92">
        <w:t>億歐元、占全國工業生產</w:t>
      </w:r>
      <w:r w:rsidRPr="001A0E92">
        <w:t>49%</w:t>
      </w:r>
      <w:r w:rsidRPr="001A0E92">
        <w:t>、產業利潤總和</w:t>
      </w:r>
      <w:r w:rsidRPr="001A0E92">
        <w:t>13</w:t>
      </w:r>
      <w:r w:rsidRPr="001A0E92">
        <w:t>億歐元、產業附加價值達</w:t>
      </w:r>
      <w:r w:rsidRPr="001A0E92">
        <w:t>64</w:t>
      </w:r>
      <w:r w:rsidRPr="001A0E92">
        <w:t>億歐元。</w:t>
      </w:r>
    </w:p>
    <w:p w:rsidR="00950597" w:rsidRPr="001A0E92" w:rsidRDefault="00950597" w:rsidP="00181F63">
      <w:pPr>
        <w:pStyle w:val="af9"/>
        <w:ind w:left="944" w:firstLine="472"/>
      </w:pPr>
      <w:r w:rsidRPr="001A0E92">
        <w:t>早在蘇聯時代，斯國重工業即已具相當發展程度，各廠均掌握自有研發並</w:t>
      </w:r>
      <w:r w:rsidR="005A5E4E" w:rsidRPr="001A0E92">
        <w:t>僱用</w:t>
      </w:r>
      <w:r w:rsidRPr="001A0E92">
        <w:t>上千名員工；革命後過度到市場導向經濟過程中，多半工廠關閉或大幅縮減。隨後由於外資進入發展出汽車大量生產的營運模式將斯國機械設備產業推向現代化，且占國際一席之地。</w:t>
      </w:r>
    </w:p>
    <w:p w:rsidR="00950597" w:rsidRPr="001A0E92" w:rsidRDefault="00950597" w:rsidP="00181F63">
      <w:pPr>
        <w:pStyle w:val="af9"/>
        <w:ind w:left="944" w:firstLine="472"/>
      </w:pPr>
      <w:r w:rsidRPr="001A0E92">
        <w:t>斯洛伐克機械設備產業包括汽車組裝廠及零配件廠</w:t>
      </w:r>
      <w:r w:rsidR="004F0E9D" w:rsidRPr="001A0E92">
        <w:rPr>
          <w:rFonts w:hint="eastAsia"/>
        </w:rPr>
        <w:t>（</w:t>
      </w:r>
      <w:r w:rsidRPr="001A0E92">
        <w:t>占比</w:t>
      </w:r>
      <w:r w:rsidRPr="001A0E92">
        <w:t>76%</w:t>
      </w:r>
      <w:r w:rsidR="004F0E9D" w:rsidRPr="001A0E92">
        <w:rPr>
          <w:rFonts w:hint="eastAsia"/>
        </w:rPr>
        <w:t>）</w:t>
      </w:r>
      <w:r w:rsidRPr="001A0E92">
        <w:t>、金屬加工</w:t>
      </w:r>
      <w:r w:rsidR="004F0E9D" w:rsidRPr="001A0E92">
        <w:rPr>
          <w:rFonts w:hint="eastAsia"/>
        </w:rPr>
        <w:t>（</w:t>
      </w:r>
      <w:r w:rsidRPr="001A0E92">
        <w:t>占比</w:t>
      </w:r>
      <w:r w:rsidRPr="001A0E92">
        <w:t>11%</w:t>
      </w:r>
      <w:r w:rsidR="004F0E9D" w:rsidRPr="001A0E92">
        <w:rPr>
          <w:rFonts w:hint="eastAsia"/>
        </w:rPr>
        <w:t>）</w:t>
      </w:r>
      <w:r w:rsidRPr="001A0E92">
        <w:t>及其他零件</w:t>
      </w:r>
      <w:r w:rsidR="004F0E9D" w:rsidRPr="001A0E92">
        <w:rPr>
          <w:rFonts w:hint="eastAsia"/>
        </w:rPr>
        <w:t>（</w:t>
      </w:r>
      <w:r w:rsidRPr="001A0E92">
        <w:t>12%</w:t>
      </w:r>
      <w:r w:rsidR="004F0E9D" w:rsidRPr="001A0E92">
        <w:rPr>
          <w:rFonts w:hint="eastAsia"/>
        </w:rPr>
        <w:t>）</w:t>
      </w:r>
      <w:r w:rsidRPr="001A0E92">
        <w:t>等。</w:t>
      </w:r>
    </w:p>
    <w:p w:rsidR="00950597" w:rsidRPr="001A0E92" w:rsidRDefault="00950597" w:rsidP="00181F63">
      <w:pPr>
        <w:pStyle w:val="af9"/>
        <w:ind w:left="944" w:firstLine="472"/>
      </w:pPr>
      <w:r w:rsidRPr="001A0E92">
        <w:t>汽車組裝廠及零配件廠主要集中在斯國中西部，如</w:t>
      </w:r>
      <w:r w:rsidRPr="001A0E92">
        <w:t>Volkswagen</w:t>
      </w:r>
      <w:r w:rsidRPr="001A0E92">
        <w:t>主要為汽車組裝、變速零件及工具五金，</w:t>
      </w:r>
      <w:r w:rsidRPr="001A0E92">
        <w:t>PORSCHE</w:t>
      </w:r>
      <w:r w:rsidRPr="001A0E92">
        <w:t>為車身研發，</w:t>
      </w:r>
      <w:r w:rsidRPr="001A0E92">
        <w:t>PEUGETO</w:t>
      </w:r>
      <w:r w:rsidRPr="001A0E92">
        <w:t>及</w:t>
      </w:r>
      <w:r w:rsidRPr="001A0E92">
        <w:t>CITROEN</w:t>
      </w:r>
      <w:r w:rsidRPr="001A0E92">
        <w:t>等</w:t>
      </w:r>
      <w:r w:rsidRPr="001A0E92">
        <w:t>Stellantis</w:t>
      </w:r>
      <w:r w:rsidRPr="001A0E92">
        <w:t>集團、</w:t>
      </w:r>
      <w:r w:rsidRPr="001A0E92">
        <w:t>KIA</w:t>
      </w:r>
      <w:r w:rsidRPr="001A0E92">
        <w:t>、</w:t>
      </w:r>
      <w:r w:rsidRPr="001A0E92">
        <w:t>JAGUAR LAND ROVER</w:t>
      </w:r>
      <w:r w:rsidRPr="001A0E92">
        <w:t>等組裝廠。零配件生產廠分屬</w:t>
      </w:r>
      <w:r w:rsidRPr="001A0E92">
        <w:t>tier1,2,3</w:t>
      </w:r>
      <w:r w:rsidRPr="001A0E92">
        <w:t>，包含</w:t>
      </w:r>
      <w:r w:rsidRPr="001A0E92">
        <w:t>10</w:t>
      </w:r>
      <w:r w:rsidRPr="001A0E92">
        <w:t>餘家電動車零配件相關業者。</w:t>
      </w:r>
    </w:p>
    <w:p w:rsidR="00950597" w:rsidRPr="001A0E92" w:rsidRDefault="00950597" w:rsidP="00181F63">
      <w:pPr>
        <w:pStyle w:val="af9"/>
        <w:ind w:left="944" w:firstLine="472"/>
      </w:pPr>
      <w:r w:rsidRPr="001A0E92">
        <w:t>金屬加工從業家數為</w:t>
      </w:r>
      <w:r w:rsidRPr="001A0E92">
        <w:t>517</w:t>
      </w:r>
      <w:r w:rsidRPr="001A0E92">
        <w:t>家，包括沖壓、切割、鎔鑄、焊接、車削、金屬表面處理、數控加工等。從業人口</w:t>
      </w:r>
      <w:r w:rsidRPr="001A0E92">
        <w:t>3.7</w:t>
      </w:r>
      <w:r w:rsidRPr="001A0E92">
        <w:t>萬人。占全國工業生產</w:t>
      </w:r>
      <w:r w:rsidRPr="001A0E92">
        <w:t>5.1%</w:t>
      </w:r>
      <w:r w:rsidRPr="001A0E92">
        <w:t>。</w:t>
      </w:r>
    </w:p>
    <w:p w:rsidR="00FF29F0" w:rsidRPr="001A0E92" w:rsidRDefault="00FF29F0" w:rsidP="00181F63">
      <w:pPr>
        <w:pStyle w:val="af9"/>
        <w:ind w:left="944" w:firstLine="472"/>
      </w:pPr>
    </w:p>
    <w:p w:rsidR="00950597" w:rsidRPr="001A0E92" w:rsidRDefault="00950597" w:rsidP="00181F63">
      <w:pPr>
        <w:pStyle w:val="af9"/>
        <w:ind w:left="944" w:firstLine="472"/>
      </w:pPr>
      <w:r w:rsidRPr="001A0E92">
        <w:t>斯國各地區機械設備產業占該區域工業生產比重以</w:t>
      </w:r>
      <w:r w:rsidRPr="001A0E92">
        <w:t>Zilina</w:t>
      </w:r>
      <w:r w:rsidRPr="001A0E92">
        <w:t>地區最多</w:t>
      </w:r>
      <w:r w:rsidR="004F0E9D" w:rsidRPr="001A0E92">
        <w:rPr>
          <w:rFonts w:hint="eastAsia"/>
        </w:rPr>
        <w:t>（</w:t>
      </w:r>
      <w:r w:rsidRPr="001A0E92">
        <w:t>69%</w:t>
      </w:r>
      <w:r w:rsidR="004F0E9D" w:rsidRPr="001A0E92">
        <w:rPr>
          <w:rFonts w:hint="eastAsia"/>
        </w:rPr>
        <w:t>）</w:t>
      </w:r>
      <w:r w:rsidRPr="001A0E92">
        <w:t>，其次為</w:t>
      </w:r>
      <w:r w:rsidRPr="001A0E92">
        <w:t>Trnava</w:t>
      </w:r>
      <w:r w:rsidR="004F0E9D" w:rsidRPr="001A0E92">
        <w:rPr>
          <w:rFonts w:hint="eastAsia"/>
        </w:rPr>
        <w:t>（</w:t>
      </w:r>
      <w:r w:rsidRPr="001A0E92">
        <w:t>57%</w:t>
      </w:r>
      <w:r w:rsidR="004F0E9D" w:rsidRPr="001A0E92">
        <w:rPr>
          <w:rFonts w:hint="eastAsia"/>
        </w:rPr>
        <w:t>）</w:t>
      </w:r>
      <w:r w:rsidRPr="001A0E92">
        <w:t>、</w:t>
      </w:r>
      <w:r w:rsidRPr="001A0E92">
        <w:t>Bratislava</w:t>
      </w:r>
      <w:r w:rsidR="004F0E9D" w:rsidRPr="001A0E92">
        <w:rPr>
          <w:rFonts w:hint="eastAsia"/>
        </w:rPr>
        <w:t>（</w:t>
      </w:r>
      <w:r w:rsidRPr="001A0E92">
        <w:t>52%</w:t>
      </w:r>
      <w:r w:rsidR="004F0E9D" w:rsidRPr="001A0E92">
        <w:rPr>
          <w:rFonts w:hint="eastAsia"/>
        </w:rPr>
        <w:t>）</w:t>
      </w:r>
      <w:r w:rsidRPr="001A0E92">
        <w:t>、</w:t>
      </w:r>
      <w:r w:rsidRPr="001A0E92">
        <w:t>Trencin</w:t>
      </w:r>
      <w:r w:rsidR="004F0E9D" w:rsidRPr="001A0E92">
        <w:rPr>
          <w:rFonts w:hint="eastAsia"/>
        </w:rPr>
        <w:t>（</w:t>
      </w:r>
      <w:r w:rsidRPr="001A0E92">
        <w:t>37%</w:t>
      </w:r>
      <w:r w:rsidR="004F0E9D" w:rsidRPr="001A0E92">
        <w:rPr>
          <w:rFonts w:hint="eastAsia"/>
        </w:rPr>
        <w:t>）</w:t>
      </w:r>
      <w:r w:rsidRPr="001A0E92">
        <w:t>、</w:t>
      </w:r>
      <w:r w:rsidRPr="001A0E92">
        <w:t>Presov</w:t>
      </w:r>
      <w:r w:rsidR="004F0E9D" w:rsidRPr="001A0E92">
        <w:rPr>
          <w:rFonts w:hint="eastAsia"/>
        </w:rPr>
        <w:t>（</w:t>
      </w:r>
      <w:r w:rsidRPr="001A0E92">
        <w:t>30%</w:t>
      </w:r>
      <w:r w:rsidR="004F0E9D" w:rsidRPr="001A0E92">
        <w:rPr>
          <w:rFonts w:hint="eastAsia"/>
        </w:rPr>
        <w:t>）</w:t>
      </w:r>
      <w:r w:rsidRPr="001A0E92">
        <w:t>等。</w:t>
      </w:r>
    </w:p>
    <w:p w:rsidR="00950597" w:rsidRPr="001A0E92" w:rsidRDefault="00950597" w:rsidP="00181F63">
      <w:pPr>
        <w:pStyle w:val="af9"/>
        <w:ind w:left="944" w:firstLine="472"/>
      </w:pPr>
      <w:r w:rsidRPr="001A0E92">
        <w:t>外人投資機械產業則以韓國</w:t>
      </w:r>
      <w:r w:rsidR="004F0E9D" w:rsidRPr="001A0E92">
        <w:rPr>
          <w:rFonts w:hint="eastAsia"/>
        </w:rPr>
        <w:t>（</w:t>
      </w:r>
      <w:r w:rsidRPr="001A0E92">
        <w:t>Mobis Slovakia</w:t>
      </w:r>
      <w:r w:rsidRPr="001A0E92">
        <w:t>，軸、控制面板生產、剎車系統</w:t>
      </w:r>
      <w:r w:rsidR="004F0E9D" w:rsidRPr="001A0E92">
        <w:rPr>
          <w:rFonts w:hint="eastAsia"/>
        </w:rPr>
        <w:t>）</w:t>
      </w:r>
      <w:r w:rsidRPr="001A0E92">
        <w:t>、德國</w:t>
      </w:r>
      <w:r w:rsidR="004F0E9D" w:rsidRPr="001A0E92">
        <w:rPr>
          <w:rFonts w:hint="eastAsia"/>
        </w:rPr>
        <w:t>（</w:t>
      </w:r>
      <w:r w:rsidRPr="001A0E92">
        <w:t>SAS Automotive</w:t>
      </w:r>
      <w:r w:rsidRPr="001A0E92">
        <w:t>，控制面板組裝</w:t>
      </w:r>
      <w:r w:rsidR="004F0E9D" w:rsidRPr="001A0E92">
        <w:rPr>
          <w:rFonts w:hint="eastAsia"/>
        </w:rPr>
        <w:t>）</w:t>
      </w:r>
      <w:r w:rsidRPr="001A0E92">
        <w:t>、法國</w:t>
      </w:r>
      <w:r w:rsidR="004F0E9D" w:rsidRPr="001A0E92">
        <w:rPr>
          <w:rFonts w:hint="eastAsia"/>
        </w:rPr>
        <w:t>（</w:t>
      </w:r>
      <w:r w:rsidRPr="001A0E92">
        <w:t>Faurecia Slovakia</w:t>
      </w:r>
      <w:r w:rsidRPr="001A0E92">
        <w:t>，內部系統、排放控制系統</w:t>
      </w:r>
      <w:r w:rsidR="004F0E9D" w:rsidRPr="001A0E92">
        <w:rPr>
          <w:rFonts w:hint="eastAsia"/>
        </w:rPr>
        <w:t>）</w:t>
      </w:r>
      <w:r w:rsidRPr="001A0E92">
        <w:t>為最大業者。</w:t>
      </w:r>
    </w:p>
    <w:p w:rsidR="00950597" w:rsidRPr="001A0E92" w:rsidRDefault="004F0E9D" w:rsidP="00181F63">
      <w:pPr>
        <w:pStyle w:val="af8"/>
        <w:ind w:left="944" w:hanging="708"/>
      </w:pPr>
      <w:r w:rsidRPr="001A0E92">
        <w:rPr>
          <w:rFonts w:hint="eastAsia"/>
        </w:rPr>
        <w:t>（</w:t>
      </w:r>
      <w:r w:rsidR="00950597" w:rsidRPr="001A0E92">
        <w:t>五</w:t>
      </w:r>
      <w:r w:rsidRPr="001A0E92">
        <w:rPr>
          <w:rFonts w:hint="eastAsia"/>
        </w:rPr>
        <w:t>）</w:t>
      </w:r>
      <w:r w:rsidR="00950597" w:rsidRPr="001A0E92">
        <w:t>食品加工產業</w:t>
      </w:r>
    </w:p>
    <w:p w:rsidR="00950597" w:rsidRPr="001A0E92" w:rsidRDefault="00950597" w:rsidP="00181F63">
      <w:pPr>
        <w:pStyle w:val="af9"/>
        <w:ind w:left="944" w:firstLine="472"/>
      </w:pPr>
      <w:r w:rsidRPr="001A0E92">
        <w:t>食品加工加上飲料產業家數</w:t>
      </w:r>
      <w:r w:rsidRPr="001A0E92">
        <w:t>3,500</w:t>
      </w:r>
      <w:r w:rsidRPr="001A0E92">
        <w:t>家，占斯國工業產值的</w:t>
      </w:r>
      <w:r w:rsidRPr="001A0E92">
        <w:t>5.2%</w:t>
      </w:r>
      <w:r w:rsidRPr="001A0E92">
        <w:t>，總產值為</w:t>
      </w:r>
      <w:r w:rsidRPr="001A0E92">
        <w:t>50</w:t>
      </w:r>
      <w:r w:rsidRPr="001A0E92">
        <w:t>億歐元、其中肉品及禽肉加工業總產值</w:t>
      </w:r>
      <w:r w:rsidRPr="001A0E92">
        <w:t>9.4</w:t>
      </w:r>
      <w:r w:rsidRPr="001A0E92">
        <w:t>億歐元，僱用人數超過</w:t>
      </w:r>
      <w:r w:rsidRPr="001A0E92">
        <w:t>6</w:t>
      </w:r>
      <w:r w:rsidRPr="001A0E92">
        <w:t>萬人，平均月薪</w:t>
      </w:r>
      <w:r w:rsidRPr="001A0E92">
        <w:t>1,158</w:t>
      </w:r>
      <w:r w:rsidRPr="001A0E92">
        <w:t>歐元。</w:t>
      </w:r>
    </w:p>
    <w:p w:rsidR="00950597" w:rsidRPr="001A0E92" w:rsidRDefault="00950597" w:rsidP="00181F63">
      <w:pPr>
        <w:pStyle w:val="af9"/>
        <w:ind w:left="944" w:firstLine="472"/>
      </w:pPr>
      <w:r w:rsidRPr="001A0E92">
        <w:t>1993</w:t>
      </w:r>
      <w:r w:rsidRPr="001A0E92">
        <w:t>年以前，當斯洛伐克與捷克仍隸屬同一國家時，斯洛伐克即扮演全國農業及食品加工業主要供應的重要角色。但在歐盟共同農業政策下，斯國國內農業發展有所調整，如今因本地農產自給有限，已轉變成淨進口國，超過</w:t>
      </w:r>
      <w:r w:rsidRPr="001A0E92">
        <w:t xml:space="preserve"> 75% </w:t>
      </w:r>
      <w:r w:rsidRPr="001A0E92">
        <w:t>的農產品</w:t>
      </w:r>
      <w:r w:rsidR="004F0E9D" w:rsidRPr="001A0E92">
        <w:rPr>
          <w:rFonts w:hint="eastAsia"/>
        </w:rPr>
        <w:t>（</w:t>
      </w:r>
      <w:r w:rsidRPr="001A0E92">
        <w:t>例如牛奶、糖、新鮮食材</w:t>
      </w:r>
      <w:r w:rsidR="004F0E9D" w:rsidRPr="001A0E92">
        <w:rPr>
          <w:rFonts w:hint="eastAsia"/>
        </w:rPr>
        <w:t>）</w:t>
      </w:r>
      <w:r w:rsidRPr="001A0E92">
        <w:t>來自其他歐盟國家，尤其是鄰國捷克及波蘭。</w:t>
      </w:r>
      <w:r w:rsidRPr="001A0E92">
        <w:t>2021</w:t>
      </w:r>
      <w:r w:rsidRPr="001A0E92">
        <w:t>年斯洛伐克農業、漁業和林業進口總額為</w:t>
      </w:r>
      <w:r w:rsidRPr="001A0E92">
        <w:t>63</w:t>
      </w:r>
      <w:r w:rsidRPr="001A0E92">
        <w:t>億美元，出口總額為</w:t>
      </w:r>
      <w:r w:rsidRPr="001A0E92">
        <w:t>43</w:t>
      </w:r>
      <w:r w:rsidRPr="001A0E92">
        <w:t>億美元。</w:t>
      </w:r>
    </w:p>
    <w:p w:rsidR="00950597" w:rsidRPr="001A0E92" w:rsidRDefault="00950597" w:rsidP="00181F63">
      <w:pPr>
        <w:pStyle w:val="af9"/>
        <w:ind w:left="944" w:firstLine="472"/>
      </w:pPr>
      <w:r w:rsidRPr="001A0E92">
        <w:t>斯國農業及食品商會</w:t>
      </w:r>
      <w:r w:rsidR="004F0E9D" w:rsidRPr="001A0E92">
        <w:rPr>
          <w:rFonts w:hint="eastAsia"/>
        </w:rPr>
        <w:t>（</w:t>
      </w:r>
      <w:r w:rsidRPr="001A0E92">
        <w:t>SPPK</w:t>
      </w:r>
      <w:r w:rsidR="004F0E9D" w:rsidRPr="001A0E92">
        <w:rPr>
          <w:rFonts w:hint="eastAsia"/>
        </w:rPr>
        <w:t>）</w:t>
      </w:r>
      <w:r w:rsidRPr="001A0E92">
        <w:t>最新數據指出，</w:t>
      </w:r>
      <w:r w:rsidRPr="001A0E92">
        <w:t>2022</w:t>
      </w:r>
      <w:r w:rsidRPr="001A0E92">
        <w:t>年</w:t>
      </w:r>
      <w:r w:rsidRPr="001A0E92">
        <w:t>1-10</w:t>
      </w:r>
      <w:r w:rsidRPr="001A0E92">
        <w:t>月斯國農產品及食品進口約</w:t>
      </w:r>
      <w:r w:rsidRPr="001A0E92">
        <w:t>56.31</w:t>
      </w:r>
      <w:r w:rsidRPr="001A0E92">
        <w:t>億歐元，較上年同期增加</w:t>
      </w:r>
      <w:r w:rsidRPr="001A0E92">
        <w:t>28.7%</w:t>
      </w:r>
      <w:r w:rsidRPr="001A0E92">
        <w:t>，其中動物產品增加</w:t>
      </w:r>
      <w:r w:rsidRPr="001A0E92">
        <w:t>50.1%</w:t>
      </w:r>
      <w:r w:rsidRPr="001A0E92">
        <w:t>、植物產品增加</w:t>
      </w:r>
      <w:r w:rsidRPr="001A0E92">
        <w:t>28.6%</w:t>
      </w:r>
      <w:r w:rsidRPr="001A0E92">
        <w:t>、油脂產品增加</w:t>
      </w:r>
      <w:r w:rsidRPr="001A0E92">
        <w:t>85.8%</w:t>
      </w:r>
      <w:r w:rsidRPr="001A0E92">
        <w:t>，另食品、飲料增加</w:t>
      </w:r>
      <w:r w:rsidRPr="001A0E92">
        <w:t>15%</w:t>
      </w:r>
      <w:r w:rsidRPr="001A0E92">
        <w:t>。顯示斯國對外食品進口需求仍強勁。</w:t>
      </w:r>
      <w:r w:rsidRPr="001A0E92">
        <w:t>SPPK</w:t>
      </w:r>
      <w:r w:rsidRPr="001A0E92">
        <w:t>分析指出，斯國商店裡販售斯國製造之食品比例仍少，自鄰國採購加工品至斯國販售比例很高。</w:t>
      </w:r>
    </w:p>
    <w:p w:rsidR="00950597" w:rsidRPr="001A0E92" w:rsidRDefault="00950597" w:rsidP="00181F63">
      <w:pPr>
        <w:pStyle w:val="af9"/>
        <w:ind w:left="944" w:firstLine="472"/>
      </w:pPr>
      <w:r w:rsidRPr="001A0E92">
        <w:t>有關食品業勞工成本，斯國在各食品業別間的薪資差異不大，主要差異在於職務及工廠所在城市。以工廠勞工而言每月薪資介於</w:t>
      </w:r>
      <w:r w:rsidRPr="001A0E92">
        <w:t>900-1,200</w:t>
      </w:r>
      <w:r w:rsidRPr="001A0E92">
        <w:t>歐元之間、技術人員介於</w:t>
      </w:r>
      <w:r w:rsidRPr="001A0E92">
        <w:t>1,200-1,700</w:t>
      </w:r>
      <w:r w:rsidRPr="001A0E92">
        <w:t>歐元之間、主管領班介於</w:t>
      </w:r>
      <w:r w:rsidRPr="001A0E92">
        <w:t>1,500-2,000</w:t>
      </w:r>
      <w:r w:rsidRPr="001A0E92">
        <w:t>之間。</w:t>
      </w:r>
    </w:p>
    <w:p w:rsidR="00950597" w:rsidRPr="001A0E92" w:rsidRDefault="00950597" w:rsidP="00181F63">
      <w:pPr>
        <w:pStyle w:val="af9"/>
        <w:ind w:left="944" w:firstLine="472"/>
      </w:pPr>
      <w:r w:rsidRPr="001A0E92">
        <w:t>在斯洛伐克營運的食品加工業主要廠商，年營收排名前者包含</w:t>
      </w:r>
      <w:r w:rsidRPr="001A0E92">
        <w:t>10</w:t>
      </w:r>
      <w:r w:rsidRPr="001A0E92">
        <w:t>家與肉品</w:t>
      </w:r>
      <w:r w:rsidRPr="001A0E92">
        <w:t>/</w:t>
      </w:r>
      <w:r w:rsidRPr="001A0E92">
        <w:t>禽肉加工處理有關、</w:t>
      </w:r>
      <w:r w:rsidRPr="001A0E92">
        <w:t>10</w:t>
      </w:r>
      <w:r w:rsidRPr="001A0E92">
        <w:t>家為乳類或相關製品、</w:t>
      </w:r>
      <w:r w:rsidRPr="001A0E92">
        <w:t>6</w:t>
      </w:r>
      <w:r w:rsidRPr="001A0E92">
        <w:t>家為酒品業者。代表性業者有：</w:t>
      </w:r>
    </w:p>
    <w:p w:rsidR="004A569E" w:rsidRPr="001A0E92" w:rsidRDefault="004A569E" w:rsidP="004A569E">
      <w:pPr>
        <w:pStyle w:val="afb"/>
        <w:ind w:left="1416" w:hanging="472"/>
      </w:pPr>
      <w:r w:rsidRPr="001A0E92">
        <w:rPr>
          <w:rFonts w:hint="eastAsia"/>
        </w:rPr>
        <w:t>１、</w:t>
      </w:r>
      <w:r w:rsidRPr="001A0E92">
        <w:rPr>
          <w:rFonts w:hint="eastAsia"/>
        </w:rPr>
        <w:tab/>
      </w:r>
      <w:r w:rsidRPr="001A0E92">
        <w:rPr>
          <w:rFonts w:hint="eastAsia"/>
        </w:rPr>
        <w:t>瑞士商雀巢公司（</w:t>
      </w:r>
      <w:r w:rsidRPr="001A0E92">
        <w:rPr>
          <w:rFonts w:hint="eastAsia"/>
        </w:rPr>
        <w:t>Nestle</w:t>
      </w:r>
      <w:r w:rsidRPr="001A0E92">
        <w:rPr>
          <w:rFonts w:hint="eastAsia"/>
        </w:rPr>
        <w:t>）生產湯塊、調味品，零食等，營收</w:t>
      </w:r>
      <w:r w:rsidRPr="001A0E92">
        <w:rPr>
          <w:rFonts w:hint="eastAsia"/>
        </w:rPr>
        <w:t>2.2</w:t>
      </w:r>
      <w:r w:rsidRPr="001A0E92">
        <w:rPr>
          <w:rFonts w:hint="eastAsia"/>
        </w:rPr>
        <w:t>億歐元，</w:t>
      </w:r>
      <w:r w:rsidR="005A5E4E" w:rsidRPr="001A0E92">
        <w:rPr>
          <w:rFonts w:hint="eastAsia"/>
        </w:rPr>
        <w:t>僱用</w:t>
      </w:r>
      <w:r w:rsidRPr="001A0E92">
        <w:rPr>
          <w:rFonts w:hint="eastAsia"/>
        </w:rPr>
        <w:t>812</w:t>
      </w:r>
      <w:r w:rsidRPr="001A0E92">
        <w:rPr>
          <w:rFonts w:hint="eastAsia"/>
        </w:rPr>
        <w:t>名員工，為斯國營收第一大食品廠。</w:t>
      </w:r>
    </w:p>
    <w:p w:rsidR="004A569E" w:rsidRPr="001A0E92" w:rsidRDefault="004A569E" w:rsidP="004A569E">
      <w:pPr>
        <w:pStyle w:val="afb"/>
        <w:ind w:left="1416" w:hanging="472"/>
      </w:pPr>
      <w:r w:rsidRPr="001A0E92">
        <w:rPr>
          <w:rFonts w:hint="eastAsia"/>
        </w:rPr>
        <w:t>２、</w:t>
      </w:r>
      <w:r w:rsidRPr="001A0E92">
        <w:rPr>
          <w:rFonts w:hint="eastAsia"/>
        </w:rPr>
        <w:tab/>
        <w:t>Rajo</w:t>
      </w:r>
      <w:r w:rsidRPr="001A0E92">
        <w:rPr>
          <w:rFonts w:hint="eastAsia"/>
        </w:rPr>
        <w:t>：生產乳製品，屬於</w:t>
      </w:r>
      <w:r w:rsidRPr="001A0E92">
        <w:rPr>
          <w:rFonts w:hint="eastAsia"/>
        </w:rPr>
        <w:t>Meggle AG Group</w:t>
      </w:r>
      <w:r w:rsidRPr="001A0E92">
        <w:rPr>
          <w:rFonts w:hint="eastAsia"/>
        </w:rPr>
        <w:t>，營收</w:t>
      </w:r>
      <w:r w:rsidRPr="001A0E92">
        <w:rPr>
          <w:rFonts w:hint="eastAsia"/>
        </w:rPr>
        <w:t>1.9</w:t>
      </w:r>
      <w:r w:rsidRPr="001A0E92">
        <w:rPr>
          <w:rFonts w:hint="eastAsia"/>
        </w:rPr>
        <w:t>億歐元，</w:t>
      </w:r>
      <w:r w:rsidR="005A5E4E" w:rsidRPr="001A0E92">
        <w:rPr>
          <w:rFonts w:hint="eastAsia"/>
        </w:rPr>
        <w:t>僱用</w:t>
      </w:r>
      <w:r w:rsidRPr="001A0E92">
        <w:rPr>
          <w:rFonts w:hint="eastAsia"/>
        </w:rPr>
        <w:t>421</w:t>
      </w:r>
      <w:r w:rsidRPr="001A0E92">
        <w:rPr>
          <w:rFonts w:hint="eastAsia"/>
        </w:rPr>
        <w:t>名員工，為斯國營收第二大食品廠。</w:t>
      </w:r>
    </w:p>
    <w:p w:rsidR="004A569E" w:rsidRPr="001A0E92" w:rsidRDefault="004A569E" w:rsidP="004A569E">
      <w:pPr>
        <w:pStyle w:val="afb"/>
        <w:ind w:left="1416" w:hanging="472"/>
      </w:pPr>
      <w:r w:rsidRPr="001A0E92">
        <w:rPr>
          <w:rFonts w:hint="eastAsia"/>
        </w:rPr>
        <w:t>３、</w:t>
      </w:r>
      <w:r w:rsidRPr="001A0E92">
        <w:rPr>
          <w:rFonts w:hint="eastAsia"/>
        </w:rPr>
        <w:tab/>
        <w:t>Mecom Group</w:t>
      </w:r>
      <w:r w:rsidRPr="001A0E92">
        <w:rPr>
          <w:rFonts w:hint="eastAsia"/>
        </w:rPr>
        <w:t>：為斯國最大肉類加工公司，年營收</w:t>
      </w:r>
      <w:r w:rsidRPr="001A0E92">
        <w:rPr>
          <w:rFonts w:hint="eastAsia"/>
        </w:rPr>
        <w:t>1.4</w:t>
      </w:r>
      <w:r w:rsidRPr="001A0E92">
        <w:rPr>
          <w:rFonts w:hint="eastAsia"/>
        </w:rPr>
        <w:t>億歐元，</w:t>
      </w:r>
      <w:r w:rsidR="005A5E4E" w:rsidRPr="001A0E92">
        <w:rPr>
          <w:rFonts w:hint="eastAsia"/>
        </w:rPr>
        <w:t>僱用</w:t>
      </w:r>
      <w:r w:rsidRPr="001A0E92">
        <w:rPr>
          <w:rFonts w:hint="eastAsia"/>
        </w:rPr>
        <w:t>1,140</w:t>
      </w:r>
      <w:r w:rsidRPr="001A0E92">
        <w:rPr>
          <w:rFonts w:hint="eastAsia"/>
        </w:rPr>
        <w:t>名員工。</w:t>
      </w:r>
    </w:p>
    <w:p w:rsidR="004A569E" w:rsidRPr="001A0E92" w:rsidRDefault="004A569E" w:rsidP="004A569E">
      <w:pPr>
        <w:pStyle w:val="afb"/>
        <w:ind w:left="1416" w:hanging="472"/>
      </w:pPr>
      <w:r w:rsidRPr="001A0E92">
        <w:rPr>
          <w:rFonts w:hint="eastAsia"/>
        </w:rPr>
        <w:t>４、</w:t>
      </w:r>
      <w:r w:rsidRPr="001A0E92">
        <w:rPr>
          <w:rFonts w:hint="eastAsia"/>
        </w:rPr>
        <w:tab/>
        <w:t>Tate &amp; Lyle</w:t>
      </w:r>
      <w:r w:rsidRPr="001A0E92">
        <w:rPr>
          <w:rFonts w:hint="eastAsia"/>
        </w:rPr>
        <w:t>：生產糖漿、異葡萄糖等食品原料，年營業額</w:t>
      </w:r>
      <w:r w:rsidRPr="001A0E92">
        <w:rPr>
          <w:rFonts w:hint="eastAsia"/>
        </w:rPr>
        <w:t>1.3</w:t>
      </w:r>
      <w:r w:rsidRPr="001A0E92">
        <w:rPr>
          <w:rFonts w:hint="eastAsia"/>
        </w:rPr>
        <w:t>億歐元，員工</w:t>
      </w:r>
      <w:r w:rsidRPr="001A0E92">
        <w:rPr>
          <w:rFonts w:hint="eastAsia"/>
        </w:rPr>
        <w:t>239</w:t>
      </w:r>
      <w:r w:rsidRPr="001A0E92">
        <w:rPr>
          <w:rFonts w:hint="eastAsia"/>
        </w:rPr>
        <w:t>名。</w:t>
      </w:r>
    </w:p>
    <w:p w:rsidR="004A569E" w:rsidRPr="001A0E92" w:rsidRDefault="004A569E" w:rsidP="004A569E">
      <w:pPr>
        <w:pStyle w:val="afb"/>
        <w:ind w:left="1416" w:hanging="472"/>
      </w:pPr>
      <w:r w:rsidRPr="001A0E92">
        <w:rPr>
          <w:rFonts w:hint="eastAsia"/>
        </w:rPr>
        <w:t>５、</w:t>
      </w:r>
      <w:r w:rsidRPr="001A0E92">
        <w:rPr>
          <w:rFonts w:hint="eastAsia"/>
        </w:rPr>
        <w:tab/>
        <w:t>Plzensky Prazdroj Slovensko</w:t>
      </w:r>
      <w:r w:rsidRPr="001A0E92">
        <w:rPr>
          <w:rFonts w:hint="eastAsia"/>
        </w:rPr>
        <w:t>：釀造啤酒，年營業額</w:t>
      </w:r>
      <w:r w:rsidRPr="001A0E92">
        <w:rPr>
          <w:rFonts w:hint="eastAsia"/>
        </w:rPr>
        <w:t>1.3</w:t>
      </w:r>
      <w:r w:rsidRPr="001A0E92">
        <w:rPr>
          <w:rFonts w:hint="eastAsia"/>
        </w:rPr>
        <w:t>億歐元，雇工</w:t>
      </w:r>
      <w:r w:rsidRPr="001A0E92">
        <w:rPr>
          <w:rFonts w:hint="eastAsia"/>
        </w:rPr>
        <w:t>563</w:t>
      </w:r>
      <w:r w:rsidRPr="001A0E92">
        <w:rPr>
          <w:rFonts w:hint="eastAsia"/>
        </w:rPr>
        <w:t>名。</w:t>
      </w:r>
    </w:p>
    <w:p w:rsidR="004A569E" w:rsidRPr="001A0E92" w:rsidRDefault="004A569E" w:rsidP="004A569E">
      <w:pPr>
        <w:pStyle w:val="afb"/>
        <w:ind w:left="1416" w:hanging="472"/>
      </w:pPr>
      <w:r w:rsidRPr="001A0E92">
        <w:rPr>
          <w:rFonts w:hint="eastAsia"/>
        </w:rPr>
        <w:t>６、</w:t>
      </w:r>
      <w:r w:rsidRPr="001A0E92">
        <w:rPr>
          <w:rFonts w:hint="eastAsia"/>
        </w:rPr>
        <w:tab/>
        <w:t>L.D.C. Holding</w:t>
      </w:r>
      <w:r w:rsidRPr="001A0E92">
        <w:rPr>
          <w:rFonts w:hint="eastAsia"/>
        </w:rPr>
        <w:t>：為斯國本土最大食品加工公司，年營收</w:t>
      </w:r>
      <w:r w:rsidRPr="001A0E92">
        <w:rPr>
          <w:rFonts w:hint="eastAsia"/>
        </w:rPr>
        <w:t>1.1</w:t>
      </w:r>
      <w:r w:rsidRPr="001A0E92">
        <w:rPr>
          <w:rFonts w:hint="eastAsia"/>
        </w:rPr>
        <w:t>億歐元，</w:t>
      </w:r>
      <w:r w:rsidR="005A5E4E" w:rsidRPr="001A0E92">
        <w:rPr>
          <w:rFonts w:hint="eastAsia"/>
        </w:rPr>
        <w:t>僱用</w:t>
      </w:r>
      <w:r w:rsidRPr="001A0E92">
        <w:rPr>
          <w:rFonts w:hint="eastAsia"/>
        </w:rPr>
        <w:t>1,011</w:t>
      </w:r>
      <w:r w:rsidRPr="001A0E92">
        <w:rPr>
          <w:rFonts w:hint="eastAsia"/>
        </w:rPr>
        <w:t>名員工，主要生產餅乾點心等食品，年銷</w:t>
      </w:r>
      <w:r w:rsidRPr="001A0E92">
        <w:rPr>
          <w:rFonts w:hint="eastAsia"/>
        </w:rPr>
        <w:t>3.8</w:t>
      </w:r>
      <w:r w:rsidRPr="001A0E92">
        <w:rPr>
          <w:rFonts w:hint="eastAsia"/>
        </w:rPr>
        <w:t>萬公噸。</w:t>
      </w:r>
    </w:p>
    <w:p w:rsidR="00950597" w:rsidRPr="001A0E92" w:rsidRDefault="00950597" w:rsidP="004A569E">
      <w:pPr>
        <w:pStyle w:val="af9"/>
        <w:ind w:left="944" w:firstLine="472"/>
      </w:pPr>
      <w:r w:rsidRPr="001A0E92">
        <w:t>斯國食品加工業設備廠商</w:t>
      </w:r>
    </w:p>
    <w:p w:rsidR="004A569E" w:rsidRPr="001A0E92" w:rsidRDefault="004A569E" w:rsidP="004A569E">
      <w:pPr>
        <w:pStyle w:val="afb"/>
        <w:ind w:left="1416" w:hanging="472"/>
      </w:pPr>
      <w:r w:rsidRPr="001A0E92">
        <w:rPr>
          <w:rFonts w:hint="eastAsia"/>
        </w:rPr>
        <w:t>１、</w:t>
      </w:r>
      <w:r w:rsidRPr="001A0E92">
        <w:rPr>
          <w:rFonts w:hint="eastAsia"/>
        </w:rPr>
        <w:tab/>
        <w:t>Marel</w:t>
      </w:r>
      <w:r w:rsidRPr="001A0E92">
        <w:rPr>
          <w:rFonts w:hint="eastAsia"/>
        </w:rPr>
        <w:t>：是全球先進肉品</w:t>
      </w:r>
      <w:r w:rsidRPr="001A0E92">
        <w:rPr>
          <w:rFonts w:hint="eastAsia"/>
        </w:rPr>
        <w:t>/</w:t>
      </w:r>
      <w:r w:rsidRPr="001A0E92">
        <w:rPr>
          <w:rFonts w:hint="eastAsia"/>
        </w:rPr>
        <w:t>禽類</w:t>
      </w:r>
      <w:r w:rsidRPr="001A0E92">
        <w:rPr>
          <w:rFonts w:hint="eastAsia"/>
        </w:rPr>
        <w:t>/</w:t>
      </w:r>
      <w:r w:rsidRPr="001A0E92">
        <w:rPr>
          <w:rFonts w:hint="eastAsia"/>
        </w:rPr>
        <w:t>魚類加工系統設備的領導品牌。</w:t>
      </w:r>
    </w:p>
    <w:p w:rsidR="004A569E" w:rsidRPr="001A0E92" w:rsidRDefault="004A569E" w:rsidP="004A569E">
      <w:pPr>
        <w:pStyle w:val="afb"/>
        <w:ind w:left="1416" w:hanging="472"/>
      </w:pPr>
      <w:r w:rsidRPr="001A0E92">
        <w:rPr>
          <w:rFonts w:hint="eastAsia"/>
        </w:rPr>
        <w:t>２、</w:t>
      </w:r>
      <w:r w:rsidRPr="001A0E92">
        <w:rPr>
          <w:rFonts w:hint="eastAsia"/>
        </w:rPr>
        <w:tab/>
        <w:t>PSS Svidnik</w:t>
      </w:r>
      <w:r w:rsidRPr="001A0E92">
        <w:rPr>
          <w:rFonts w:hint="eastAsia"/>
        </w:rPr>
        <w:t>：提供肉類加工機械、釀酒設備、加壓及非加壓裝載設備。</w:t>
      </w:r>
    </w:p>
    <w:p w:rsidR="00950597" w:rsidRPr="001A0E92" w:rsidRDefault="004A569E" w:rsidP="004A569E">
      <w:pPr>
        <w:pStyle w:val="afb"/>
        <w:ind w:left="1416" w:hanging="472"/>
      </w:pPr>
      <w:r w:rsidRPr="001A0E92">
        <w:rPr>
          <w:rFonts w:hint="eastAsia"/>
        </w:rPr>
        <w:t>３、</w:t>
      </w:r>
      <w:r w:rsidRPr="001A0E92">
        <w:rPr>
          <w:rFonts w:hint="eastAsia"/>
        </w:rPr>
        <w:tab/>
        <w:t>LEKOS</w:t>
      </w:r>
      <w:r w:rsidRPr="001A0E92">
        <w:rPr>
          <w:rFonts w:hint="eastAsia"/>
        </w:rPr>
        <w:t>：係一家族企業，提供糕餅烘焙相關設備。</w:t>
      </w:r>
    </w:p>
    <w:p w:rsidR="00950597" w:rsidRPr="001A0E92" w:rsidRDefault="00950597" w:rsidP="004A569E">
      <w:pPr>
        <w:pStyle w:val="af9"/>
        <w:ind w:left="944" w:firstLine="472"/>
      </w:pPr>
      <w:r w:rsidRPr="001A0E92">
        <w:t>在研發方面：位於斯國</w:t>
      </w:r>
      <w:r w:rsidRPr="001A0E92">
        <w:t>NITRA</w:t>
      </w:r>
      <w:r w:rsidRPr="001A0E92">
        <w:t>省的農業大學在</w:t>
      </w:r>
      <w:r w:rsidRPr="001A0E92">
        <w:t>2015</w:t>
      </w:r>
      <w:r w:rsidRPr="001A0E92">
        <w:t>年設置農業生技研發中心</w:t>
      </w:r>
      <w:r w:rsidR="004F0E9D" w:rsidRPr="001A0E92">
        <w:rPr>
          <w:rFonts w:hint="eastAsia"/>
        </w:rPr>
        <w:t>（</w:t>
      </w:r>
      <w:r w:rsidRPr="001A0E92">
        <w:t>ABT RC</w:t>
      </w:r>
      <w:r w:rsidR="004F0E9D" w:rsidRPr="001A0E92">
        <w:rPr>
          <w:rFonts w:hint="eastAsia"/>
        </w:rPr>
        <w:t>）</w:t>
      </w:r>
      <w:r w:rsidRPr="001A0E92">
        <w:t>，從事農業生物、農產品加工技術、生物科技、遺傳技術、農業生態、生物遺傳、生物經濟學等領域的研究。</w:t>
      </w:r>
      <w:r w:rsidRPr="001A0E92">
        <w:t>Bratislava</w:t>
      </w:r>
      <w:r w:rsidRPr="001A0E92">
        <w:t>科技大學之化學食品科技學院</w:t>
      </w:r>
      <w:r w:rsidR="004F0E9D" w:rsidRPr="001A0E92">
        <w:rPr>
          <w:rFonts w:hint="eastAsia"/>
        </w:rPr>
        <w:t>（</w:t>
      </w:r>
      <w:r w:rsidRPr="001A0E92">
        <w:t>FCFT</w:t>
      </w:r>
      <w:r w:rsidR="004F0E9D" w:rsidRPr="001A0E92">
        <w:rPr>
          <w:rFonts w:hint="eastAsia"/>
        </w:rPr>
        <w:t>）</w:t>
      </w:r>
      <w:r w:rsidRPr="001A0E92">
        <w:t>是斯國發展最好的農業研究機構之一，與生產商及公司有</w:t>
      </w:r>
      <w:r w:rsidRPr="001A0E92">
        <w:t>280</w:t>
      </w:r>
      <w:r w:rsidRPr="001A0E92">
        <w:t>幾項應用研究合作案正在進行。研發項目包含生物活性物質、機能性物質、材料技術、食品安全等。</w:t>
      </w:r>
      <w:r w:rsidRPr="001A0E92">
        <w:t>2021</w:t>
      </w:r>
      <w:r w:rsidRPr="001A0E92">
        <w:t>年斯國的國家農業食品中心執行</w:t>
      </w:r>
      <w:r w:rsidRPr="001A0E92">
        <w:t>136</w:t>
      </w:r>
      <w:r w:rsidRPr="001A0E92">
        <w:t>項研發專案，包含自然資源保護</w:t>
      </w:r>
      <w:r w:rsidR="004F0E9D" w:rsidRPr="001A0E92">
        <w:rPr>
          <w:rFonts w:hint="eastAsia"/>
        </w:rPr>
        <w:t>（</w:t>
      </w:r>
      <w:r w:rsidRPr="001A0E92">
        <w:t>如水土對於作物生產及畜牧業的影響動物</w:t>
      </w:r>
      <w:r w:rsidR="004F0E9D" w:rsidRPr="001A0E92">
        <w:rPr>
          <w:rFonts w:hint="eastAsia"/>
        </w:rPr>
        <w:t>）</w:t>
      </w:r>
      <w:r w:rsidRPr="001A0E92">
        <w:t>、農業相關食品及非食品之創新及競爭力研究。</w:t>
      </w:r>
    </w:p>
    <w:p w:rsidR="00950597" w:rsidRPr="001A0E92" w:rsidRDefault="004F0E9D" w:rsidP="004A569E">
      <w:pPr>
        <w:pStyle w:val="af8"/>
        <w:ind w:left="944" w:hanging="708"/>
      </w:pPr>
      <w:r w:rsidRPr="001A0E92">
        <w:rPr>
          <w:rFonts w:hint="eastAsia"/>
        </w:rPr>
        <w:t>（</w:t>
      </w:r>
      <w:r w:rsidR="00950597" w:rsidRPr="001A0E92">
        <w:t>六</w:t>
      </w:r>
      <w:r w:rsidRPr="001A0E92">
        <w:rPr>
          <w:rFonts w:hint="eastAsia"/>
        </w:rPr>
        <w:t>）</w:t>
      </w:r>
      <w:r w:rsidR="00950597" w:rsidRPr="001A0E92">
        <w:t>製藥及生技產業</w:t>
      </w:r>
    </w:p>
    <w:p w:rsidR="00950597" w:rsidRPr="001A0E92" w:rsidRDefault="00950597" w:rsidP="004A569E">
      <w:pPr>
        <w:pStyle w:val="af9"/>
        <w:ind w:left="944" w:firstLine="472"/>
      </w:pPr>
      <w:r w:rsidRPr="001A0E92">
        <w:t>斯洛伐克生命科學產業主要發展在生產藥品、醫療器材及化妝品方面。總產值約達</w:t>
      </w:r>
      <w:r w:rsidRPr="001A0E92">
        <w:t>6</w:t>
      </w:r>
      <w:r w:rsidRPr="001A0E92">
        <w:t>億歐元、生產廠商家數</w:t>
      </w:r>
      <w:r w:rsidRPr="001A0E92">
        <w:t>193</w:t>
      </w:r>
      <w:r w:rsidRPr="001A0E92">
        <w:t>家、</w:t>
      </w:r>
      <w:r w:rsidR="005A5E4E" w:rsidRPr="001A0E92">
        <w:t>僱用</w:t>
      </w:r>
      <w:r w:rsidRPr="001A0E92">
        <w:t>研發人員達</w:t>
      </w:r>
      <w:r w:rsidRPr="001A0E92">
        <w:t>3,360</w:t>
      </w:r>
      <w:r w:rsidRPr="001A0E92">
        <w:t>人。</w:t>
      </w:r>
    </w:p>
    <w:p w:rsidR="00950597" w:rsidRPr="001A0E92" w:rsidRDefault="00950597" w:rsidP="004A569E">
      <w:pPr>
        <w:pStyle w:val="af9"/>
        <w:ind w:left="944" w:firstLine="472"/>
      </w:pPr>
      <w:r w:rsidRPr="001A0E92">
        <w:t>製藥業在斯國製造業中屬相對年經的產業，目前斯國製藥業前五大家公司依序為</w:t>
      </w:r>
      <w:r w:rsidRPr="001A0E92">
        <w:t>SANECA Pharmaceuticals</w:t>
      </w:r>
      <w:r w:rsidR="004F0E9D" w:rsidRPr="001A0E92">
        <w:rPr>
          <w:rFonts w:hint="eastAsia"/>
        </w:rPr>
        <w:t>（</w:t>
      </w:r>
      <w:r w:rsidRPr="001A0E92">
        <w:t>opiate</w:t>
      </w:r>
      <w:r w:rsidRPr="001A0E92">
        <w:t>類藥物研發、原料藥</w:t>
      </w:r>
      <w:r w:rsidR="004F0E9D" w:rsidRPr="001A0E92">
        <w:rPr>
          <w:rFonts w:hint="eastAsia"/>
        </w:rPr>
        <w:t>（</w:t>
      </w:r>
      <w:r w:rsidRPr="001A0E92">
        <w:t>APIs</w:t>
      </w:r>
      <w:r w:rsidR="004F0E9D" w:rsidRPr="001A0E92">
        <w:rPr>
          <w:rFonts w:hint="eastAsia"/>
        </w:rPr>
        <w:t>）</w:t>
      </w:r>
      <w:r w:rsidRPr="001A0E92">
        <w:t>製造</w:t>
      </w:r>
      <w:r w:rsidR="004F0E9D" w:rsidRPr="001A0E92">
        <w:rPr>
          <w:rFonts w:hint="eastAsia"/>
        </w:rPr>
        <w:t>）</w:t>
      </w:r>
      <w:r w:rsidRPr="001A0E92">
        <w:t>、</w:t>
      </w:r>
      <w:r w:rsidRPr="001A0E92">
        <w:t>HBM Pharma</w:t>
      </w:r>
      <w:r w:rsidR="004F0E9D" w:rsidRPr="001A0E92">
        <w:rPr>
          <w:rFonts w:hint="eastAsia"/>
        </w:rPr>
        <w:t>（</w:t>
      </w:r>
      <w:r w:rsidRPr="001A0E92">
        <w:t>代工製造藥瓶製劑</w:t>
      </w:r>
      <w:r w:rsidR="004F0E9D" w:rsidRPr="001A0E92">
        <w:rPr>
          <w:rFonts w:hint="eastAsia"/>
        </w:rPr>
        <w:t>）</w:t>
      </w:r>
      <w:r w:rsidRPr="001A0E92">
        <w:t>、</w:t>
      </w:r>
      <w:r w:rsidRPr="001A0E92">
        <w:t>Hameln rds</w:t>
      </w:r>
      <w:r w:rsidR="004F0E9D" w:rsidRPr="001A0E92">
        <w:rPr>
          <w:rFonts w:hint="eastAsia"/>
        </w:rPr>
        <w:t>（</w:t>
      </w:r>
      <w:r w:rsidRPr="001A0E92">
        <w:t>原料藥之研發生產</w:t>
      </w:r>
      <w:r w:rsidR="004F0E9D" w:rsidRPr="001A0E92">
        <w:rPr>
          <w:rFonts w:hint="eastAsia"/>
        </w:rPr>
        <w:t>）</w:t>
      </w:r>
      <w:r w:rsidRPr="001A0E92">
        <w:t>、</w:t>
      </w:r>
      <w:r w:rsidRPr="001A0E92">
        <w:t>BIOTIKA</w:t>
      </w:r>
      <w:r w:rsidR="004F0E9D" w:rsidRPr="001A0E92">
        <w:rPr>
          <w:rFonts w:hint="eastAsia"/>
        </w:rPr>
        <w:t>（</w:t>
      </w:r>
      <w:r w:rsidRPr="001A0E92">
        <w:t>人類及動物用之原料藥</w:t>
      </w:r>
      <w:r w:rsidR="004F0E9D" w:rsidRPr="001A0E92">
        <w:rPr>
          <w:rFonts w:hint="eastAsia"/>
        </w:rPr>
        <w:t>）</w:t>
      </w:r>
      <w:r w:rsidRPr="001A0E92">
        <w:t>、</w:t>
      </w:r>
      <w:r w:rsidRPr="001A0E92">
        <w:t>UNIMED PHARMA</w:t>
      </w:r>
      <w:r w:rsidR="004F0E9D" w:rsidRPr="001A0E92">
        <w:rPr>
          <w:rFonts w:hint="eastAsia"/>
        </w:rPr>
        <w:t>（</w:t>
      </w:r>
      <w:r w:rsidRPr="001A0E92">
        <w:t>眼用藥品研發</w:t>
      </w:r>
      <w:r w:rsidR="004F0E9D" w:rsidRPr="001A0E92">
        <w:rPr>
          <w:rFonts w:hint="eastAsia"/>
        </w:rPr>
        <w:t>）</w:t>
      </w:r>
      <w:r w:rsidRPr="001A0E92">
        <w:t>等。維他命、礦物質等補充品主要生產商：</w:t>
      </w:r>
      <w:r w:rsidRPr="001A0E92">
        <w:t>Pleuran</w:t>
      </w:r>
      <w:r w:rsidRPr="001A0E92">
        <w:t>、</w:t>
      </w:r>
      <w:r w:rsidRPr="001A0E92">
        <w:t>Innopharma</w:t>
      </w:r>
      <w:r w:rsidRPr="001A0E92">
        <w:t>、</w:t>
      </w:r>
      <w:r w:rsidRPr="001A0E92">
        <w:t>Generica</w:t>
      </w:r>
      <w:r w:rsidRPr="001A0E92">
        <w:t>、</w:t>
      </w:r>
      <w:r w:rsidRPr="001A0E92">
        <w:t>VULM</w:t>
      </w:r>
      <w:r w:rsidRPr="001A0E92">
        <w:t>、</w:t>
      </w:r>
      <w:r w:rsidRPr="001A0E92">
        <w:t>GALVEX</w:t>
      </w:r>
      <w:r w:rsidRPr="001A0E92">
        <w:t>等。</w:t>
      </w:r>
    </w:p>
    <w:p w:rsidR="00950597" w:rsidRPr="001A0E92" w:rsidRDefault="00950597" w:rsidP="004A569E">
      <w:pPr>
        <w:pStyle w:val="af9"/>
        <w:ind w:left="944" w:firstLine="472"/>
      </w:pPr>
      <w:r w:rsidRPr="001A0E92">
        <w:t>與製藥業相比，醫療器材有較長久的發展歷史，產品以外銷為主。斯國拋棄式醫療用品業者包括</w:t>
      </w:r>
      <w:r w:rsidRPr="001A0E92">
        <w:t>Unomedical</w:t>
      </w:r>
      <w:r w:rsidRPr="001A0E92">
        <w:t>、</w:t>
      </w:r>
      <w:r w:rsidRPr="001A0E92">
        <w:t>Medline Assembly Slovakia</w:t>
      </w:r>
      <w:r w:rsidRPr="001A0E92">
        <w:t>及</w:t>
      </w:r>
      <w:r w:rsidRPr="001A0E92">
        <w:t>Chirana T. Injecta</w:t>
      </w:r>
      <w:r w:rsidRPr="001A0E92">
        <w:t>等</w:t>
      </w:r>
      <w:r w:rsidRPr="001A0E92">
        <w:t>3</w:t>
      </w:r>
      <w:r w:rsidRPr="001A0E92">
        <w:t>家，另有</w:t>
      </w:r>
      <w:r w:rsidRPr="001A0E92">
        <w:t>Chirana Medical</w:t>
      </w:r>
      <w:r w:rsidR="004F0E9D" w:rsidRPr="001A0E92">
        <w:rPr>
          <w:rFonts w:hint="eastAsia"/>
        </w:rPr>
        <w:t>（</w:t>
      </w:r>
      <w:r w:rsidRPr="001A0E92">
        <w:t>牙科設備及器材</w:t>
      </w:r>
      <w:r w:rsidR="004F0E9D" w:rsidRPr="001A0E92">
        <w:rPr>
          <w:rFonts w:hint="eastAsia"/>
        </w:rPr>
        <w:t>）</w:t>
      </w:r>
      <w:r w:rsidRPr="001A0E92">
        <w:t>、</w:t>
      </w:r>
      <w:r w:rsidRPr="001A0E92">
        <w:t>Biometrix</w:t>
      </w:r>
      <w:r w:rsidR="004F0E9D" w:rsidRPr="001A0E92">
        <w:rPr>
          <w:rFonts w:hint="eastAsia"/>
        </w:rPr>
        <w:t>（</w:t>
      </w:r>
      <w:r w:rsidRPr="001A0E92">
        <w:t>重症醫學、心臟外科等之醫療器材</w:t>
      </w:r>
      <w:r w:rsidR="004F0E9D" w:rsidRPr="001A0E92">
        <w:rPr>
          <w:rFonts w:hint="eastAsia"/>
        </w:rPr>
        <w:t>）</w:t>
      </w:r>
      <w:r w:rsidRPr="001A0E92">
        <w:t>及</w:t>
      </w:r>
      <w:r w:rsidRPr="001A0E92">
        <w:t>Protetika</w:t>
      </w:r>
      <w:r w:rsidRPr="001A0E92">
        <w:t>、</w:t>
      </w:r>
      <w:r w:rsidRPr="001A0E92">
        <w:t>NEOPROT</w:t>
      </w:r>
      <w:r w:rsidR="004F0E9D" w:rsidRPr="001A0E92">
        <w:rPr>
          <w:rFonts w:hint="eastAsia"/>
        </w:rPr>
        <w:t>（</w:t>
      </w:r>
      <w:r w:rsidRPr="001A0E92">
        <w:t>骨科和假肢設備</w:t>
      </w:r>
      <w:r w:rsidR="004F0E9D" w:rsidRPr="001A0E92">
        <w:rPr>
          <w:rFonts w:hint="eastAsia"/>
        </w:rPr>
        <w:t>）</w:t>
      </w:r>
      <w:r w:rsidRPr="001A0E92">
        <w:t>。</w:t>
      </w:r>
    </w:p>
    <w:p w:rsidR="00950597" w:rsidRPr="001A0E92" w:rsidRDefault="00950597" w:rsidP="004A569E">
      <w:pPr>
        <w:pStyle w:val="af9"/>
        <w:ind w:left="944" w:firstLine="472"/>
      </w:pPr>
      <w:r w:rsidRPr="001A0E92">
        <w:t>美妝製造商主要有</w:t>
      </w:r>
      <w:r w:rsidRPr="001A0E92">
        <w:t>GlaxoSmithKline</w:t>
      </w:r>
      <w:r w:rsidR="004F0E9D" w:rsidRPr="001A0E92">
        <w:rPr>
          <w:rFonts w:hint="eastAsia"/>
        </w:rPr>
        <w:t>（</w:t>
      </w:r>
      <w:r w:rsidRPr="001A0E92">
        <w:t>生產個人化妝品</w:t>
      </w:r>
      <w:r w:rsidR="004F0E9D" w:rsidRPr="001A0E92">
        <w:rPr>
          <w:rFonts w:hint="eastAsia"/>
        </w:rPr>
        <w:t>）</w:t>
      </w:r>
      <w:r w:rsidRPr="001A0E92">
        <w:t>、</w:t>
      </w:r>
      <w:r w:rsidRPr="001A0E92">
        <w:t>Saneca Pharmaceuticals</w:t>
      </w:r>
      <w:r w:rsidR="004F0E9D" w:rsidRPr="001A0E92">
        <w:rPr>
          <w:rFonts w:hint="eastAsia"/>
        </w:rPr>
        <w:t>（</w:t>
      </w:r>
      <w:r w:rsidRPr="001A0E92">
        <w:t>生產乳液、牙膏等。</w:t>
      </w:r>
      <w:r w:rsidR="004F0E9D" w:rsidRPr="001A0E92">
        <w:rPr>
          <w:rFonts w:hint="eastAsia"/>
        </w:rPr>
        <w:t>）</w:t>
      </w:r>
      <w:r w:rsidRPr="001A0E92">
        <w:t>、</w:t>
      </w:r>
      <w:r w:rsidRPr="001A0E92">
        <w:t>Herba Drug</w:t>
      </w:r>
      <w:r w:rsidR="004F0E9D" w:rsidRPr="001A0E92">
        <w:rPr>
          <w:rFonts w:hint="eastAsia"/>
        </w:rPr>
        <w:t>（</w:t>
      </w:r>
      <w:r w:rsidRPr="001A0E92">
        <w:t>化妝品、清潔劑</w:t>
      </w:r>
      <w:r w:rsidR="004F0E9D" w:rsidRPr="001A0E92">
        <w:rPr>
          <w:rFonts w:hint="eastAsia"/>
        </w:rPr>
        <w:t>）</w:t>
      </w:r>
      <w:r w:rsidRPr="001A0E92">
        <w:t>、</w:t>
      </w:r>
      <w:r w:rsidRPr="001A0E92">
        <w:t>Calendula</w:t>
      </w:r>
      <w:r w:rsidR="004F0E9D" w:rsidRPr="001A0E92">
        <w:rPr>
          <w:rFonts w:hint="eastAsia"/>
        </w:rPr>
        <w:t>（</w:t>
      </w:r>
      <w:r w:rsidRPr="001A0E92">
        <w:t>精油、營養補充品。</w:t>
      </w:r>
      <w:r w:rsidR="004F0E9D" w:rsidRPr="001A0E92">
        <w:rPr>
          <w:rFonts w:hint="eastAsia"/>
        </w:rPr>
        <w:t>）</w:t>
      </w:r>
    </w:p>
    <w:p w:rsidR="00950597" w:rsidRPr="001A0E92" w:rsidRDefault="00950597" w:rsidP="004A569E">
      <w:pPr>
        <w:pStyle w:val="af9"/>
        <w:ind w:left="944" w:firstLine="472"/>
      </w:pPr>
      <w:r w:rsidRPr="001A0E92">
        <w:t>研發量能部分，斯國國家科學院</w:t>
      </w:r>
      <w:r w:rsidR="004F0E9D" w:rsidRPr="001A0E92">
        <w:rPr>
          <w:rFonts w:hint="eastAsia"/>
        </w:rPr>
        <w:t>（</w:t>
      </w:r>
      <w:r w:rsidRPr="001A0E92">
        <w:t>SAS</w:t>
      </w:r>
      <w:r w:rsidR="004F0E9D" w:rsidRPr="001A0E92">
        <w:rPr>
          <w:rFonts w:hint="eastAsia"/>
        </w:rPr>
        <w:t>）</w:t>
      </w:r>
      <w:r w:rsidRPr="001A0E92">
        <w:t>設有生技醫療研究中心</w:t>
      </w:r>
      <w:r w:rsidR="004F0E9D" w:rsidRPr="001A0E92">
        <w:rPr>
          <w:rFonts w:hint="eastAsia"/>
        </w:rPr>
        <w:t>（</w:t>
      </w:r>
      <w:r w:rsidRPr="001A0E92">
        <w:t>Biomedical Research Center</w:t>
      </w:r>
      <w:r w:rsidR="004F0E9D" w:rsidRPr="001A0E92">
        <w:rPr>
          <w:rFonts w:hint="eastAsia"/>
        </w:rPr>
        <w:t>）</w:t>
      </w:r>
      <w:r w:rsidRPr="001A0E92">
        <w:t>，該中心為斯國最大的基礎及應用研究中心，現有</w:t>
      </w:r>
      <w:r w:rsidRPr="001A0E92">
        <w:t>19</w:t>
      </w:r>
      <w:r w:rsidRPr="001A0E92">
        <w:t>個研發部門、</w:t>
      </w:r>
      <w:r w:rsidRPr="001A0E92">
        <w:t>12</w:t>
      </w:r>
      <w:r w:rsidRPr="001A0E92">
        <w:t>個學系及臨床研究單位。</w:t>
      </w:r>
    </w:p>
    <w:p w:rsidR="00950597" w:rsidRPr="001A0E92" w:rsidRDefault="004F0E9D" w:rsidP="004A569E">
      <w:pPr>
        <w:pStyle w:val="af8"/>
        <w:ind w:left="944" w:hanging="708"/>
      </w:pPr>
      <w:r w:rsidRPr="001A0E92">
        <w:rPr>
          <w:rFonts w:hint="eastAsia"/>
        </w:rPr>
        <w:t>（</w:t>
      </w:r>
      <w:r w:rsidR="00950597" w:rsidRPr="001A0E92">
        <w:t>七</w:t>
      </w:r>
      <w:r w:rsidRPr="001A0E92">
        <w:rPr>
          <w:rFonts w:hint="eastAsia"/>
        </w:rPr>
        <w:t>）</w:t>
      </w:r>
      <w:r w:rsidR="00950597" w:rsidRPr="001A0E92">
        <w:t>航太產業</w:t>
      </w:r>
    </w:p>
    <w:p w:rsidR="00950597" w:rsidRPr="001A0E92" w:rsidRDefault="00950597" w:rsidP="004A569E">
      <w:pPr>
        <w:pStyle w:val="af9"/>
        <w:ind w:left="944" w:firstLine="472"/>
      </w:pPr>
      <w:r w:rsidRPr="001A0E92">
        <w:t>2017</w:t>
      </w:r>
      <w:r w:rsidRPr="001A0E92">
        <w:t>年斯洛伐克太空活動組織</w:t>
      </w:r>
      <w:r w:rsidR="004F0E9D" w:rsidRPr="001A0E92">
        <w:rPr>
          <w:rFonts w:hint="eastAsia"/>
        </w:rPr>
        <w:t>（</w:t>
      </w:r>
      <w:r w:rsidRPr="001A0E92">
        <w:t>Slovak Organisation for Space Activities</w:t>
      </w:r>
      <w:r w:rsidR="004F0E9D" w:rsidRPr="001A0E92">
        <w:rPr>
          <w:rFonts w:hint="eastAsia"/>
        </w:rPr>
        <w:t>）</w:t>
      </w:r>
      <w:r w:rsidRPr="001A0E92">
        <w:t>已成功發射</w:t>
      </w:r>
      <w:r w:rsidRPr="001A0E92">
        <w:t>”skCube”</w:t>
      </w:r>
      <w:r w:rsidRPr="001A0E92">
        <w:t>衛星。迄今斯國已發展出</w:t>
      </w:r>
      <w:r w:rsidRPr="001A0E92">
        <w:t>30</w:t>
      </w:r>
      <w:r w:rsidRPr="001A0E92">
        <w:t>幾家公司積極活躍在太空產業領域，直接從業人口超過</w:t>
      </w:r>
      <w:r w:rsidRPr="001A0E92">
        <w:t>500</w:t>
      </w:r>
      <w:r w:rsidRPr="001A0E92">
        <w:t>人。其中超過半數屬於產業較上游領域。斯國太空產業營業額總計達</w:t>
      </w:r>
      <w:r w:rsidRPr="001A0E92">
        <w:t>1</w:t>
      </w:r>
      <w:r w:rsidRPr="001A0E92">
        <w:t>億</w:t>
      </w:r>
      <w:r w:rsidRPr="001A0E92">
        <w:t>800</w:t>
      </w:r>
      <w:r w:rsidRPr="001A0E92">
        <w:t>萬歐元，主要來自與地球觀測或定位資訊有關之軟體應用之開發。</w:t>
      </w:r>
    </w:p>
    <w:p w:rsidR="00950597" w:rsidRPr="001A0E92" w:rsidRDefault="00950597" w:rsidP="004A569E">
      <w:pPr>
        <w:pStyle w:val="af9"/>
        <w:ind w:left="944" w:firstLine="472"/>
      </w:pPr>
      <w:r w:rsidRPr="001A0E92">
        <w:t>除此之外，另有</w:t>
      </w:r>
      <w:r w:rsidRPr="001A0E92">
        <w:t>40</w:t>
      </w:r>
      <w:r w:rsidRPr="001A0E92">
        <w:t>餘家公司從事電子、精密機械、工業自動化、</w:t>
      </w:r>
      <w:r w:rsidRPr="001A0E92">
        <w:t>ICT</w:t>
      </w:r>
      <w:r w:rsidRPr="001A0E92">
        <w:t>相關領域，且部分已有參與太空相關專案，這些未來都有潛力發展成為太空產業的一員。</w:t>
      </w:r>
    </w:p>
    <w:p w:rsidR="00950597" w:rsidRPr="001A0E92" w:rsidRDefault="00950597" w:rsidP="004A569E">
      <w:pPr>
        <w:pStyle w:val="af9"/>
        <w:ind w:left="944" w:firstLine="472"/>
      </w:pPr>
      <w:r w:rsidRPr="001A0E92">
        <w:t>上游業者包含</w:t>
      </w:r>
      <w:r w:rsidRPr="001A0E92">
        <w:t>CTRL</w:t>
      </w:r>
      <w:r w:rsidR="004F0E9D" w:rsidRPr="001A0E92">
        <w:rPr>
          <w:rFonts w:hint="eastAsia"/>
        </w:rPr>
        <w:t>（</w:t>
      </w:r>
      <w:r w:rsidRPr="001A0E92">
        <w:t>航太相關電機零件</w:t>
      </w:r>
      <w:r w:rsidR="004F0E9D" w:rsidRPr="001A0E92">
        <w:rPr>
          <w:rFonts w:hint="eastAsia"/>
        </w:rPr>
        <w:t>）</w:t>
      </w:r>
      <w:r w:rsidRPr="001A0E92">
        <w:t>及</w:t>
      </w:r>
      <w:r w:rsidRPr="001A0E92">
        <w:t xml:space="preserve"> SPACEMANIC</w:t>
      </w:r>
      <w:r w:rsidR="004F0E9D" w:rsidRPr="001A0E92">
        <w:rPr>
          <w:rFonts w:hint="eastAsia"/>
        </w:rPr>
        <w:t>（</w:t>
      </w:r>
      <w:r w:rsidRPr="001A0E92">
        <w:t>小衛星整合、端至端解決方案及設計</w:t>
      </w:r>
      <w:r w:rsidR="004F0E9D" w:rsidRPr="001A0E92">
        <w:rPr>
          <w:rFonts w:hint="eastAsia"/>
        </w:rPr>
        <w:t>）</w:t>
      </w:r>
      <w:r w:rsidRPr="001A0E92">
        <w:t>，下游業者包</w:t>
      </w:r>
      <w:r w:rsidRPr="001A0E92">
        <w:t>SYGIC</w:t>
      </w:r>
      <w:r w:rsidR="004F0E9D" w:rsidRPr="001A0E92">
        <w:rPr>
          <w:rFonts w:hint="eastAsia"/>
        </w:rPr>
        <w:t>（</w:t>
      </w:r>
      <w:r w:rsidRPr="001A0E92">
        <w:t>GPS</w:t>
      </w:r>
      <w:r w:rsidRPr="001A0E92">
        <w:t>導航軟體</w:t>
      </w:r>
      <w:r w:rsidR="004F0E9D" w:rsidRPr="001A0E92">
        <w:rPr>
          <w:rFonts w:hint="eastAsia"/>
        </w:rPr>
        <w:t>）</w:t>
      </w:r>
      <w:r w:rsidRPr="001A0E92">
        <w:t>、</w:t>
      </w:r>
      <w:r w:rsidRPr="001A0E92">
        <w:t>SPACE SCIENCE</w:t>
      </w:r>
      <w:r w:rsidR="004F0E9D" w:rsidRPr="001A0E92">
        <w:rPr>
          <w:rFonts w:hint="eastAsia"/>
        </w:rPr>
        <w:t>（</w:t>
      </w:r>
      <w:r w:rsidRPr="001A0E92">
        <w:t>地球觀測資訊入口平臺</w:t>
      </w:r>
      <w:r w:rsidR="004F0E9D" w:rsidRPr="001A0E92">
        <w:rPr>
          <w:rFonts w:hint="eastAsia"/>
        </w:rPr>
        <w:t>）</w:t>
      </w:r>
      <w:r w:rsidRPr="001A0E92">
        <w:t>，其他有潛力業者包括</w:t>
      </w:r>
      <w:r w:rsidRPr="001A0E92">
        <w:t>3IPK</w:t>
      </w:r>
      <w:r w:rsidR="004F0E9D" w:rsidRPr="001A0E92">
        <w:rPr>
          <w:rFonts w:hint="eastAsia"/>
        </w:rPr>
        <w:t>（</w:t>
      </w:r>
      <w:r w:rsidRPr="001A0E92">
        <w:t>區塊鏈技術</w:t>
      </w:r>
      <w:r w:rsidR="004F0E9D" w:rsidRPr="001A0E92">
        <w:rPr>
          <w:rFonts w:hint="eastAsia"/>
        </w:rPr>
        <w:t>）</w:t>
      </w:r>
      <w:r w:rsidRPr="001A0E92">
        <w:t>、</w:t>
      </w:r>
      <w:r w:rsidRPr="001A0E92">
        <w:t>Matador</w:t>
      </w:r>
      <w:r w:rsidR="004F0E9D" w:rsidRPr="001A0E92">
        <w:rPr>
          <w:rFonts w:hint="eastAsia"/>
        </w:rPr>
        <w:t>（</w:t>
      </w:r>
      <w:r w:rsidRPr="001A0E92">
        <w:t>自動化設備及零配件</w:t>
      </w:r>
      <w:r w:rsidR="004F0E9D" w:rsidRPr="001A0E92">
        <w:rPr>
          <w:rFonts w:hint="eastAsia"/>
        </w:rPr>
        <w:t>）</w:t>
      </w:r>
      <w:r w:rsidRPr="001A0E92">
        <w:t>等。</w:t>
      </w:r>
    </w:p>
    <w:p w:rsidR="00950597" w:rsidRPr="001A0E92" w:rsidRDefault="00950597" w:rsidP="004A569E">
      <w:pPr>
        <w:pStyle w:val="af9"/>
        <w:ind w:left="944" w:firstLine="472"/>
      </w:pPr>
      <w:r w:rsidRPr="001A0E92">
        <w:t>在航空輕航機的發展成就，斯國</w:t>
      </w:r>
      <w:r w:rsidRPr="001A0E92">
        <w:t>Klein Vision</w:t>
      </w:r>
      <w:r w:rsidRPr="001A0E92">
        <w:t>公司已成功開發飛天車，在完成</w:t>
      </w:r>
      <w:r w:rsidRPr="001A0E92">
        <w:t>200</w:t>
      </w:r>
      <w:r w:rsidRPr="001A0E92">
        <w:t>次起降、</w:t>
      </w:r>
      <w:r w:rsidRPr="001A0E92">
        <w:t>70</w:t>
      </w:r>
      <w:r w:rsidRPr="001A0E92">
        <w:t>小時試飛</w:t>
      </w:r>
      <w:r w:rsidR="004F0E9D" w:rsidRPr="001A0E92">
        <w:rPr>
          <w:rFonts w:hint="eastAsia"/>
        </w:rPr>
        <w:t>（</w:t>
      </w:r>
      <w:r w:rsidRPr="001A0E92">
        <w:t>等同歐盟航空安全署</w:t>
      </w:r>
      <w:r w:rsidRPr="001A0E92">
        <w:t>EASA</w:t>
      </w:r>
      <w:r w:rsidRPr="001A0E92">
        <w:t>之標準</w:t>
      </w:r>
      <w:r w:rsidR="004F0E9D" w:rsidRPr="001A0E92">
        <w:rPr>
          <w:rFonts w:hint="eastAsia"/>
        </w:rPr>
        <w:t>）</w:t>
      </w:r>
      <w:r w:rsidRPr="001A0E92">
        <w:t>，獲得斯國交通局</w:t>
      </w:r>
      <w:r w:rsidR="004F0E9D" w:rsidRPr="001A0E92">
        <w:rPr>
          <w:rFonts w:hint="eastAsia"/>
        </w:rPr>
        <w:t>（</w:t>
      </w:r>
      <w:r w:rsidRPr="001A0E92">
        <w:t>Slovak Transport Authority</w:t>
      </w:r>
      <w:r w:rsidR="004F0E9D" w:rsidRPr="001A0E92">
        <w:rPr>
          <w:rFonts w:hint="eastAsia"/>
        </w:rPr>
        <w:t>）</w:t>
      </w:r>
      <w:r w:rsidRPr="001A0E92">
        <w:t>在</w:t>
      </w:r>
      <w:r w:rsidRPr="001A0E92">
        <w:t>2022</w:t>
      </w:r>
      <w:r w:rsidRPr="001A0E92">
        <w:t>年核發執照。該飛天車安裝</w:t>
      </w:r>
      <w:r w:rsidRPr="001A0E92">
        <w:t>BMW</w:t>
      </w:r>
      <w:r w:rsidRPr="001A0E92">
        <w:t>引擎、彈道降落傘、起降全自動、可在</w:t>
      </w:r>
      <w:r w:rsidRPr="001A0E92">
        <w:t>135</w:t>
      </w:r>
      <w:r w:rsidRPr="001A0E92">
        <w:t>秒內由飛航結構改成汽車。另在斯國及捷克兩國均有營運的</w:t>
      </w:r>
      <w:r w:rsidRPr="001A0E92">
        <w:t>Shark</w:t>
      </w:r>
      <w:r w:rsidRPr="001A0E92">
        <w:t>公司，生產單引擎輕航飛機有世界最快輕航機之美名，自</w:t>
      </w:r>
      <w:r w:rsidRPr="001A0E92">
        <w:t>2011</w:t>
      </w:r>
      <w:r w:rsidRPr="001A0E92">
        <w:t>年開始生產，</w:t>
      </w:r>
      <w:r w:rsidRPr="001A0E92">
        <w:t>2021</w:t>
      </w:r>
      <w:r w:rsidRPr="001A0E92">
        <w:t>年比利時少女完成獨駕飛機環遊世界壯舉，所駕馭者者即為</w:t>
      </w:r>
      <w:r w:rsidRPr="001A0E92">
        <w:t>Shark</w:t>
      </w:r>
      <w:r w:rsidRPr="001A0E92">
        <w:t>公司輕航機。</w:t>
      </w:r>
    </w:p>
    <w:p w:rsidR="00950597" w:rsidRPr="001A0E92" w:rsidRDefault="00950597" w:rsidP="004A569E">
      <w:pPr>
        <w:pStyle w:val="af9"/>
        <w:ind w:left="944" w:firstLine="472"/>
      </w:pPr>
      <w:r w:rsidRPr="001A0E92">
        <w:t>在國際合作方面，斯國為歐盟成員，更於</w:t>
      </w:r>
      <w:r w:rsidRPr="001A0E92">
        <w:t>2022</w:t>
      </w:r>
      <w:r w:rsidRPr="001A0E92">
        <w:t>年起正式成為歐盟太空總署</w:t>
      </w:r>
      <w:r w:rsidR="004F0E9D" w:rsidRPr="001A0E92">
        <w:rPr>
          <w:rFonts w:hint="eastAsia"/>
        </w:rPr>
        <w:t>（</w:t>
      </w:r>
      <w:r w:rsidRPr="001A0E92">
        <w:t>ESA</w:t>
      </w:r>
      <w:r w:rsidR="004F0E9D" w:rsidRPr="001A0E92">
        <w:rPr>
          <w:rFonts w:hint="eastAsia"/>
        </w:rPr>
        <w:t>）</w:t>
      </w:r>
      <w:r w:rsidRPr="001A0E92">
        <w:t>之準會員</w:t>
      </w:r>
      <w:r w:rsidR="004F0E9D" w:rsidRPr="001A0E92">
        <w:rPr>
          <w:rFonts w:hint="eastAsia"/>
        </w:rPr>
        <w:t>（</w:t>
      </w:r>
      <w:r w:rsidRPr="001A0E92">
        <w:t>Associate Member</w:t>
      </w:r>
      <w:r w:rsidR="004F0E9D" w:rsidRPr="001A0E92">
        <w:rPr>
          <w:rFonts w:hint="eastAsia"/>
        </w:rPr>
        <w:t>）</w:t>
      </w:r>
      <w:r w:rsidRPr="001A0E92">
        <w:t>。斯國參與歐盟太空相關之計畫包含</w:t>
      </w:r>
      <w:r w:rsidRPr="001A0E92">
        <w:t>Galileo</w:t>
      </w:r>
      <w:r w:rsidRPr="001A0E92">
        <w:t>、</w:t>
      </w:r>
      <w:r w:rsidRPr="001A0E92">
        <w:t>EGNOS</w:t>
      </w:r>
      <w:r w:rsidRPr="001A0E92">
        <w:t>、</w:t>
      </w:r>
      <w:r w:rsidRPr="001A0E92">
        <w:t>Copernicus</w:t>
      </w:r>
      <w:r w:rsidRPr="001A0E92">
        <w:t>、</w:t>
      </w:r>
      <w:r w:rsidRPr="001A0E92">
        <w:t>GovSatCom</w:t>
      </w:r>
      <w:r w:rsidRPr="001A0E92">
        <w:t>等，累計獲得歐盟經費資助達</w:t>
      </w:r>
      <w:r w:rsidRPr="001A0E92">
        <w:t>40</w:t>
      </w:r>
      <w:r w:rsidRPr="001A0E92">
        <w:t>萬歐元。此外，斯國亦參與聯合國和平利用外太空空間委員會</w:t>
      </w:r>
      <w:r w:rsidRPr="001A0E92">
        <w:t xml:space="preserve"> </w:t>
      </w:r>
      <w:r w:rsidR="004F0E9D" w:rsidRPr="001A0E92">
        <w:rPr>
          <w:rFonts w:hint="eastAsia"/>
          <w:spacing w:val="-4"/>
          <w:kern w:val="24"/>
        </w:rPr>
        <w:t>（</w:t>
      </w:r>
      <w:r w:rsidRPr="001A0E92">
        <w:rPr>
          <w:spacing w:val="-4"/>
          <w:kern w:val="24"/>
        </w:rPr>
        <w:t>COPUOS</w:t>
      </w:r>
      <w:r w:rsidR="004F0E9D" w:rsidRPr="001A0E92">
        <w:rPr>
          <w:rFonts w:hint="eastAsia"/>
          <w:spacing w:val="-4"/>
          <w:kern w:val="24"/>
        </w:rPr>
        <w:t>）</w:t>
      </w:r>
      <w:r w:rsidRPr="001A0E92">
        <w:rPr>
          <w:spacing w:val="-4"/>
          <w:kern w:val="24"/>
        </w:rPr>
        <w:t>、國際太空總會、歐洲氣象衛星開發組織</w:t>
      </w:r>
      <w:r w:rsidR="004F0E9D" w:rsidRPr="001A0E92">
        <w:rPr>
          <w:rFonts w:hint="eastAsia"/>
          <w:spacing w:val="-4"/>
          <w:kern w:val="24"/>
        </w:rPr>
        <w:t>（</w:t>
      </w:r>
      <w:r w:rsidRPr="001A0E92">
        <w:rPr>
          <w:spacing w:val="-4"/>
          <w:kern w:val="24"/>
        </w:rPr>
        <w:t>EUMESTSAT</w:t>
      </w:r>
      <w:r w:rsidR="004F0E9D" w:rsidRPr="001A0E92">
        <w:rPr>
          <w:rFonts w:hint="eastAsia"/>
          <w:spacing w:val="-4"/>
          <w:kern w:val="24"/>
        </w:rPr>
        <w:t>）</w:t>
      </w:r>
      <w:r w:rsidRPr="001A0E92">
        <w:rPr>
          <w:spacing w:val="-4"/>
          <w:kern w:val="24"/>
        </w:rPr>
        <w:t>、</w:t>
      </w:r>
      <w:r w:rsidRPr="001A0E92">
        <w:t>EUTELSAT</w:t>
      </w:r>
      <w:r w:rsidRPr="001A0E92">
        <w:t>政府間組織</w:t>
      </w:r>
      <w:r w:rsidR="004F0E9D" w:rsidRPr="001A0E92">
        <w:rPr>
          <w:rFonts w:hint="eastAsia"/>
        </w:rPr>
        <w:t>（</w:t>
      </w:r>
      <w:r w:rsidRPr="001A0E92">
        <w:t>IGO</w:t>
      </w:r>
      <w:r w:rsidR="004F0E9D" w:rsidRPr="001A0E92">
        <w:rPr>
          <w:rFonts w:hint="eastAsia"/>
        </w:rPr>
        <w:t>）</w:t>
      </w:r>
      <w:r w:rsidRPr="001A0E92">
        <w:t>、美國太空研究委員會</w:t>
      </w:r>
      <w:r w:rsidR="004F0E9D" w:rsidRPr="001A0E92">
        <w:rPr>
          <w:rFonts w:hint="eastAsia"/>
        </w:rPr>
        <w:t>（</w:t>
      </w:r>
      <w:r w:rsidRPr="001A0E92">
        <w:t>COSPAR</w:t>
      </w:r>
      <w:r w:rsidR="004F0E9D" w:rsidRPr="001A0E92">
        <w:rPr>
          <w:rFonts w:hint="eastAsia"/>
        </w:rPr>
        <w:t>）</w:t>
      </w:r>
      <w:r w:rsidRPr="001A0E92">
        <w:t>、歐盟太空法律中心</w:t>
      </w:r>
      <w:r w:rsidR="004F0E9D" w:rsidRPr="001A0E92">
        <w:rPr>
          <w:rFonts w:hint="eastAsia"/>
        </w:rPr>
        <w:t>（</w:t>
      </w:r>
      <w:r w:rsidRPr="001A0E92">
        <w:t>ECSL</w:t>
      </w:r>
      <w:r w:rsidR="004F0E9D" w:rsidRPr="001A0E92">
        <w:rPr>
          <w:rFonts w:hint="eastAsia"/>
        </w:rPr>
        <w:t>）</w:t>
      </w:r>
      <w:r w:rsidRPr="001A0E92">
        <w:t>、中小企業太空組織</w:t>
      </w:r>
      <w:r w:rsidR="004F0E9D" w:rsidRPr="001A0E92">
        <w:rPr>
          <w:rFonts w:hint="eastAsia"/>
        </w:rPr>
        <w:t>（</w:t>
      </w:r>
      <w:r w:rsidRPr="001A0E92">
        <w:t>SME4SPACE</w:t>
      </w:r>
      <w:r w:rsidR="004F0E9D" w:rsidRPr="001A0E92">
        <w:rPr>
          <w:rFonts w:hint="eastAsia"/>
        </w:rPr>
        <w:t>）</w:t>
      </w:r>
      <w:r w:rsidRPr="001A0E92">
        <w:t>。</w:t>
      </w:r>
    </w:p>
    <w:p w:rsidR="00950597" w:rsidRPr="001A0E92" w:rsidRDefault="00950597" w:rsidP="004A569E">
      <w:pPr>
        <w:pStyle w:val="af9"/>
        <w:ind w:left="944" w:firstLine="472"/>
      </w:pPr>
      <w:r w:rsidRPr="001A0E92">
        <w:t>斯國政府就太空產業政策之制定、執行、對外合作等分工如下</w:t>
      </w:r>
      <w:r w:rsidR="004A569E" w:rsidRPr="001A0E92">
        <w:rPr>
          <w:rFonts w:hint="eastAsia"/>
        </w:rPr>
        <w:t>：</w:t>
      </w:r>
    </w:p>
    <w:p w:rsidR="004A569E" w:rsidRPr="001A0E92" w:rsidRDefault="004A569E" w:rsidP="004A569E">
      <w:pPr>
        <w:pStyle w:val="afb"/>
        <w:ind w:left="1416" w:hanging="472"/>
      </w:pPr>
      <w:r w:rsidRPr="001A0E92">
        <w:rPr>
          <w:rFonts w:hint="eastAsia"/>
        </w:rPr>
        <w:t>１、</w:t>
      </w:r>
      <w:r w:rsidRPr="001A0E92">
        <w:rPr>
          <w:rFonts w:hint="eastAsia"/>
        </w:rPr>
        <w:tab/>
      </w:r>
      <w:r w:rsidRPr="001A0E92">
        <w:rPr>
          <w:rFonts w:hint="eastAsia"/>
        </w:rPr>
        <w:t>斯國教育</w:t>
      </w:r>
      <w:r w:rsidRPr="001A0E92">
        <w:rPr>
          <w:rFonts w:hint="eastAsia"/>
        </w:rPr>
        <w:t>/</w:t>
      </w:r>
      <w:r w:rsidRPr="001A0E92">
        <w:rPr>
          <w:rFonts w:hint="eastAsia"/>
        </w:rPr>
        <w:t>科學</w:t>
      </w:r>
      <w:r w:rsidRPr="001A0E92">
        <w:rPr>
          <w:rFonts w:hint="eastAsia"/>
        </w:rPr>
        <w:t>/</w:t>
      </w:r>
      <w:r w:rsidRPr="001A0E92">
        <w:rPr>
          <w:rFonts w:hint="eastAsia"/>
        </w:rPr>
        <w:t>研究及體育部：負責與歐盟太空總署（</w:t>
      </w:r>
      <w:r w:rsidRPr="001A0E92">
        <w:rPr>
          <w:rFonts w:hint="eastAsia"/>
        </w:rPr>
        <w:t>European Space Agency, ESA</w:t>
      </w:r>
      <w:r w:rsidRPr="001A0E92">
        <w:rPr>
          <w:rFonts w:hint="eastAsia"/>
        </w:rPr>
        <w:t>）合作、執行歐盟國家合作計畫（</w:t>
      </w:r>
      <w:r w:rsidRPr="001A0E92">
        <w:rPr>
          <w:rFonts w:hint="eastAsia"/>
        </w:rPr>
        <w:t>Plan for European Cooperating States, PECS</w:t>
      </w:r>
      <w:r w:rsidRPr="001A0E92">
        <w:rPr>
          <w:rFonts w:hint="eastAsia"/>
        </w:rPr>
        <w:t>）、擔任</w:t>
      </w:r>
      <w:r w:rsidRPr="001A0E92">
        <w:rPr>
          <w:rFonts w:hint="eastAsia"/>
        </w:rPr>
        <w:t>Horizon Europe</w:t>
      </w:r>
      <w:r w:rsidRPr="001A0E92">
        <w:rPr>
          <w:rFonts w:hint="eastAsia"/>
        </w:rPr>
        <w:t>及</w:t>
      </w:r>
      <w:r w:rsidRPr="001A0E92">
        <w:rPr>
          <w:rFonts w:hint="eastAsia"/>
        </w:rPr>
        <w:t>EU</w:t>
      </w:r>
      <w:r w:rsidRPr="001A0E92">
        <w:rPr>
          <w:rFonts w:hint="eastAsia"/>
        </w:rPr>
        <w:t>太空計畫的聯絡窗口。並負責斯國太空基礎建設。</w:t>
      </w:r>
      <w:r w:rsidRPr="001A0E92">
        <w:rPr>
          <w:rFonts w:hint="eastAsia"/>
        </w:rPr>
        <w:t>2019</w:t>
      </w:r>
      <w:r w:rsidRPr="001A0E92">
        <w:rPr>
          <w:rFonts w:hint="eastAsia"/>
        </w:rPr>
        <w:t>年教育部公告斯國太空活動概念架構文件作為斯國未來發展的的藍圖。</w:t>
      </w:r>
    </w:p>
    <w:p w:rsidR="004A569E" w:rsidRPr="001A0E92" w:rsidRDefault="004A569E" w:rsidP="004A569E">
      <w:pPr>
        <w:pStyle w:val="afb"/>
        <w:ind w:left="1416" w:hanging="472"/>
      </w:pPr>
      <w:r w:rsidRPr="001A0E92">
        <w:rPr>
          <w:rFonts w:hint="eastAsia"/>
        </w:rPr>
        <w:t>２、</w:t>
      </w:r>
      <w:r w:rsidRPr="001A0E92">
        <w:rPr>
          <w:rFonts w:hint="eastAsia"/>
        </w:rPr>
        <w:tab/>
      </w:r>
      <w:r w:rsidRPr="001A0E92">
        <w:rPr>
          <w:rFonts w:hint="eastAsia"/>
        </w:rPr>
        <w:t>交通及建設部：執行伽利略（</w:t>
      </w:r>
      <w:r w:rsidRPr="001A0E92">
        <w:rPr>
          <w:rFonts w:hint="eastAsia"/>
        </w:rPr>
        <w:t>Galileo</w:t>
      </w:r>
      <w:r w:rsidRPr="001A0E92">
        <w:rPr>
          <w:rFonts w:hint="eastAsia"/>
        </w:rPr>
        <w:t>）計畫、歐洲地球同步衛星導航增強服務系統（</w:t>
      </w:r>
      <w:r w:rsidRPr="001A0E92">
        <w:rPr>
          <w:rFonts w:hint="eastAsia"/>
        </w:rPr>
        <w:t>European Geostationary Navigation Overlay Service, EGNOS</w:t>
      </w:r>
      <w:r w:rsidRPr="001A0E92">
        <w:rPr>
          <w:rFonts w:hint="eastAsia"/>
        </w:rPr>
        <w:t>），並負責公共管理服務。</w:t>
      </w:r>
    </w:p>
    <w:p w:rsidR="004A569E" w:rsidRPr="001A0E92" w:rsidRDefault="004A569E" w:rsidP="004A569E">
      <w:pPr>
        <w:pStyle w:val="afb"/>
        <w:ind w:left="1416" w:hanging="472"/>
      </w:pPr>
      <w:r w:rsidRPr="001A0E92">
        <w:rPr>
          <w:rFonts w:hint="eastAsia"/>
        </w:rPr>
        <w:t>３、</w:t>
      </w:r>
      <w:r w:rsidRPr="001A0E92">
        <w:rPr>
          <w:rFonts w:hint="eastAsia"/>
        </w:rPr>
        <w:tab/>
      </w:r>
      <w:r w:rsidRPr="001A0E92">
        <w:rPr>
          <w:rFonts w:hint="eastAsia"/>
        </w:rPr>
        <w:t>環境部</w:t>
      </w:r>
      <w:r w:rsidRPr="001A0E92">
        <w:rPr>
          <w:rFonts w:hint="eastAsia"/>
        </w:rPr>
        <w:t>:</w:t>
      </w:r>
      <w:r w:rsidRPr="001A0E92">
        <w:rPr>
          <w:rFonts w:hint="eastAsia"/>
        </w:rPr>
        <w:t>負責歐盟哥白尼計畫（</w:t>
      </w:r>
      <w:r w:rsidRPr="001A0E92">
        <w:rPr>
          <w:rFonts w:hint="eastAsia"/>
        </w:rPr>
        <w:t>Copernicus Programme Cooperation</w:t>
      </w:r>
      <w:r w:rsidRPr="001A0E92">
        <w:rPr>
          <w:rFonts w:hint="eastAsia"/>
        </w:rPr>
        <w:t>）合作。</w:t>
      </w:r>
    </w:p>
    <w:p w:rsidR="004A569E" w:rsidRPr="001A0E92" w:rsidRDefault="004A569E" w:rsidP="004A569E">
      <w:pPr>
        <w:pStyle w:val="afb"/>
        <w:ind w:left="1416" w:hanging="472"/>
      </w:pPr>
      <w:r w:rsidRPr="001A0E92">
        <w:rPr>
          <w:rFonts w:hint="eastAsia"/>
        </w:rPr>
        <w:t>４、</w:t>
      </w:r>
      <w:r w:rsidRPr="001A0E92">
        <w:rPr>
          <w:rFonts w:hint="eastAsia"/>
        </w:rPr>
        <w:tab/>
      </w:r>
      <w:r w:rsidRPr="001A0E92">
        <w:rPr>
          <w:rFonts w:hint="eastAsia"/>
        </w:rPr>
        <w:t>內政部：負責歐盟成員國政府間衛星溝通（</w:t>
      </w:r>
      <w:r w:rsidRPr="001A0E92">
        <w:rPr>
          <w:rFonts w:hint="eastAsia"/>
        </w:rPr>
        <w:t>European Union Governmental Satellite Communications, GovSatCom</w:t>
      </w:r>
      <w:r w:rsidRPr="001A0E92">
        <w:rPr>
          <w:rFonts w:hint="eastAsia"/>
        </w:rPr>
        <w:t>）計畫之聯繫合作。</w:t>
      </w:r>
    </w:p>
    <w:p w:rsidR="004A569E" w:rsidRPr="001A0E92" w:rsidRDefault="004A569E" w:rsidP="004A569E">
      <w:pPr>
        <w:pStyle w:val="afb"/>
        <w:ind w:left="1416" w:hanging="472"/>
      </w:pPr>
      <w:r w:rsidRPr="001A0E92">
        <w:rPr>
          <w:rFonts w:hint="eastAsia"/>
        </w:rPr>
        <w:t>５、</w:t>
      </w:r>
      <w:r w:rsidRPr="001A0E92">
        <w:rPr>
          <w:rFonts w:hint="eastAsia"/>
        </w:rPr>
        <w:tab/>
      </w:r>
      <w:r w:rsidRPr="001A0E92">
        <w:rPr>
          <w:rFonts w:hint="eastAsia"/>
        </w:rPr>
        <w:t>經濟部（含投資及貿易推廣局，</w:t>
      </w:r>
      <w:r w:rsidRPr="001A0E92">
        <w:rPr>
          <w:rFonts w:hint="eastAsia"/>
        </w:rPr>
        <w:t>SARIO</w:t>
      </w:r>
      <w:r w:rsidRPr="001A0E92">
        <w:rPr>
          <w:rFonts w:hint="eastAsia"/>
        </w:rPr>
        <w:t>）：發展斯國產業在太空領域的能量。</w:t>
      </w:r>
    </w:p>
    <w:p w:rsidR="00950597" w:rsidRPr="001A0E92" w:rsidRDefault="004A569E" w:rsidP="004A569E">
      <w:pPr>
        <w:pStyle w:val="afb"/>
        <w:ind w:left="1416" w:hanging="472"/>
      </w:pPr>
      <w:r w:rsidRPr="001A0E92">
        <w:rPr>
          <w:rFonts w:hint="eastAsia"/>
        </w:rPr>
        <w:t>６、</w:t>
      </w:r>
      <w:r w:rsidRPr="001A0E92">
        <w:rPr>
          <w:rFonts w:hint="eastAsia"/>
        </w:rPr>
        <w:tab/>
      </w:r>
      <w:r w:rsidRPr="001A0E92">
        <w:rPr>
          <w:rFonts w:hint="eastAsia"/>
        </w:rPr>
        <w:t>外交部</w:t>
      </w:r>
      <w:r w:rsidRPr="001A0E92">
        <w:rPr>
          <w:rFonts w:hint="eastAsia"/>
        </w:rPr>
        <w:t>:</w:t>
      </w:r>
      <w:r w:rsidRPr="001A0E92">
        <w:rPr>
          <w:rFonts w:hint="eastAsia"/>
        </w:rPr>
        <w:t>負責與外太空開發及使用有關的國際法及安全政策。</w:t>
      </w:r>
    </w:p>
    <w:p w:rsidR="00950597" w:rsidRPr="001A0E92" w:rsidRDefault="00950597" w:rsidP="00FF29F0">
      <w:pPr>
        <w:pStyle w:val="af3"/>
        <w:pageBreakBefore/>
        <w:spacing w:before="257" w:after="257"/>
        <w:ind w:left="632" w:hanging="632"/>
        <w:rPr>
          <w:color w:val="auto"/>
        </w:rPr>
      </w:pPr>
      <w:r w:rsidRPr="001A0E92">
        <w:rPr>
          <w:color w:val="auto"/>
        </w:rPr>
        <w:t>四、政府之重要經濟措施及經濟展望</w:t>
      </w:r>
    </w:p>
    <w:p w:rsidR="00950597" w:rsidRPr="001A0E92" w:rsidRDefault="00950597" w:rsidP="004A569E">
      <w:pPr>
        <w:pStyle w:val="a0"/>
        <w:ind w:firstLine="472"/>
      </w:pPr>
      <w:r w:rsidRPr="001A0E92">
        <w:t>斯國為歐盟成員國，為因應未來挑戰及落實歐盟各策略性政策，以吸引外國投資和促進國內企業的發展，斯國亦推動綠色新政及數位轉型兩大歐盟政策。斯國的稅收體系相對單純，營所稅</w:t>
      </w:r>
      <w:r w:rsidRPr="001A0E92">
        <w:t>21%</w:t>
      </w:r>
      <w:r w:rsidRPr="001A0E92">
        <w:t>係</w:t>
      </w:r>
      <w:r w:rsidRPr="001A0E92">
        <w:t>V4</w:t>
      </w:r>
      <w:r w:rsidRPr="001A0E92">
        <w:t>國家中最高者</w:t>
      </w:r>
      <w:r w:rsidRPr="001A0E92">
        <w:rPr>
          <w:rStyle w:val="a9"/>
          <w:kern w:val="0"/>
        </w:rPr>
        <w:footnoteReference w:id="1"/>
      </w:r>
      <w:r w:rsidRPr="001A0E92">
        <w:t>。勞動成本相對歐洲大國較低，這吸引了許多國際企業在斯投資和設廠。然而，斯國經濟也存在著一些問題，例如因過度依賴汽車產業而產業結構單一、勞力供應不足、人口老齡化等問題也越來越嚴重，這對斯國的經濟發展帶來了挑戰。茲就斯國重要經貿措施分述如下</w:t>
      </w:r>
      <w:r w:rsidR="00FF29F0" w:rsidRPr="001A0E92">
        <w:rPr>
          <w:rFonts w:hint="eastAsia"/>
        </w:rPr>
        <w:t>：</w:t>
      </w:r>
    </w:p>
    <w:p w:rsidR="00950597" w:rsidRPr="001A0E92" w:rsidRDefault="009A0135" w:rsidP="009A0135">
      <w:pPr>
        <w:pStyle w:val="af8"/>
        <w:ind w:left="944" w:hanging="708"/>
      </w:pPr>
      <w:r w:rsidRPr="001A0E92">
        <w:rPr>
          <w:rFonts w:hint="eastAsia"/>
        </w:rPr>
        <w:t>（一）</w:t>
      </w:r>
      <w:r w:rsidR="00950597" w:rsidRPr="001A0E92">
        <w:t>「經濟復甦及彈性計畫」</w:t>
      </w:r>
    </w:p>
    <w:p w:rsidR="00950597" w:rsidRPr="001A0E92" w:rsidRDefault="00950597" w:rsidP="009A0135">
      <w:pPr>
        <w:pStyle w:val="af9"/>
        <w:ind w:left="944" w:firstLine="472"/>
      </w:pPr>
      <w:r w:rsidRPr="001A0E92">
        <w:t>斯國政府規劃到</w:t>
      </w:r>
      <w:r w:rsidRPr="001A0E92">
        <w:t>2026</w:t>
      </w:r>
      <w:r w:rsidRPr="001A0E92">
        <w:t>年以歐盟基金投資</w:t>
      </w:r>
      <w:r w:rsidRPr="001A0E92">
        <w:t>63</w:t>
      </w:r>
      <w:r w:rsidRPr="001A0E92">
        <w:t>億歐元進行數十項關鍵性改革，其中</w:t>
      </w:r>
      <w:r w:rsidRPr="001A0E92">
        <w:t>43%</w:t>
      </w:r>
      <w:r w:rsidRPr="001A0E92">
        <w:t>為支持氣候目標，包括產業減碳、永續交通、提高能源效率、氣候適應措施等；</w:t>
      </w:r>
      <w:r w:rsidRPr="001A0E92">
        <w:t>21%</w:t>
      </w:r>
      <w:r w:rsidRPr="001A0E92">
        <w:t>將支應數位轉型，包括公共行政數位化、公民及企業數位化等。目標係促成斯國在</w:t>
      </w:r>
      <w:r w:rsidRPr="001A0E92">
        <w:t>2026</w:t>
      </w:r>
      <w:r w:rsidRPr="001A0E92">
        <w:t>年</w:t>
      </w:r>
      <w:r w:rsidRPr="001A0E92">
        <w:t>GDP</w:t>
      </w:r>
      <w:r w:rsidRPr="001A0E92">
        <w:t>增長</w:t>
      </w:r>
      <w:r w:rsidRPr="001A0E92">
        <w:t>1.3%</w:t>
      </w:r>
      <w:r w:rsidRPr="001A0E92">
        <w:t>至</w:t>
      </w:r>
      <w:r w:rsidRPr="001A0E92">
        <w:t>2.1%</w:t>
      </w:r>
      <w:r w:rsidRPr="001A0E92">
        <w:t>，以及增加</w:t>
      </w:r>
      <w:r w:rsidRPr="001A0E92">
        <w:t>2</w:t>
      </w:r>
      <w:r w:rsidRPr="001A0E92">
        <w:t>萬個工作機會。</w:t>
      </w:r>
    </w:p>
    <w:p w:rsidR="00950597" w:rsidRPr="001A0E92" w:rsidRDefault="009A0135" w:rsidP="009A0135">
      <w:pPr>
        <w:pStyle w:val="af8"/>
        <w:ind w:left="944" w:hanging="708"/>
      </w:pPr>
      <w:r w:rsidRPr="001A0E92">
        <w:t>（</w:t>
      </w:r>
      <w:r w:rsidRPr="001A0E92">
        <w:rPr>
          <w:rFonts w:hint="eastAsia"/>
        </w:rPr>
        <w:t>二）</w:t>
      </w:r>
      <w:r w:rsidR="00950597" w:rsidRPr="001A0E92">
        <w:t>執行歐盟「綠色新政」</w:t>
      </w:r>
    </w:p>
    <w:p w:rsidR="00950597" w:rsidRPr="001A0E92" w:rsidRDefault="00950597" w:rsidP="009A0135">
      <w:pPr>
        <w:pStyle w:val="af9"/>
        <w:ind w:left="944" w:firstLine="472"/>
      </w:pPr>
      <w:r w:rsidRPr="001A0E92">
        <w:t>斯國配合歐盟氣候政策，將於歐盟「現代化基金」及上述「經濟復甦及彈性計畫」下推動產業減碳及電動車充電站之設置，在</w:t>
      </w:r>
      <w:r w:rsidRPr="001A0E92">
        <w:t>2026</w:t>
      </w:r>
      <w:r w:rsidRPr="001A0E92">
        <w:t>年前減少</w:t>
      </w:r>
      <w:r w:rsidRPr="001A0E92">
        <w:t>260</w:t>
      </w:r>
      <w:r w:rsidRPr="001A0E92">
        <w:t>萬噸二氧化碳排放量。斯經濟部職掌再生能源、能源效率、基礎建設等議題，</w:t>
      </w:r>
      <w:r w:rsidRPr="001A0E92">
        <w:t>Fit for 55</w:t>
      </w:r>
      <w:r w:rsidRPr="001A0E92">
        <w:t>草案超過</w:t>
      </w:r>
      <w:r w:rsidRPr="001A0E92">
        <w:t>40</w:t>
      </w:r>
      <w:r w:rsidRPr="001A0E92">
        <w:t>個個子議題</w:t>
      </w:r>
      <w:r w:rsidR="004F0E9D" w:rsidRPr="001A0E92">
        <w:rPr>
          <w:rFonts w:hint="eastAsia"/>
        </w:rPr>
        <w:t>（</w:t>
      </w:r>
      <w:r w:rsidRPr="001A0E92">
        <w:t>proposals</w:t>
      </w:r>
      <w:r w:rsidR="004F0E9D" w:rsidRPr="001A0E92">
        <w:rPr>
          <w:rFonts w:hint="eastAsia"/>
        </w:rPr>
        <w:t>）</w:t>
      </w:r>
      <w:r w:rsidRPr="001A0E92">
        <w:t>亦幾乎都由該部執掌；斯環境部主管汽車排碳立法；碳邊境調節機制</w:t>
      </w:r>
      <w:r w:rsidR="004F0E9D" w:rsidRPr="001A0E92">
        <w:rPr>
          <w:rFonts w:hint="eastAsia"/>
        </w:rPr>
        <w:t>（</w:t>
      </w:r>
      <w:r w:rsidRPr="001A0E92">
        <w:t>CBAM</w:t>
      </w:r>
      <w:r w:rsidR="004F0E9D" w:rsidRPr="001A0E92">
        <w:rPr>
          <w:rFonts w:hint="eastAsia"/>
        </w:rPr>
        <w:t>）</w:t>
      </w:r>
      <w:r w:rsidRPr="001A0E92">
        <w:t>與環境部及海關均有關。</w:t>
      </w:r>
    </w:p>
    <w:p w:rsidR="00FF29F0" w:rsidRPr="001A0E92" w:rsidRDefault="00FF29F0" w:rsidP="009A0135">
      <w:pPr>
        <w:pStyle w:val="af9"/>
        <w:ind w:left="944" w:firstLine="472"/>
      </w:pPr>
    </w:p>
    <w:p w:rsidR="00FF29F0" w:rsidRPr="001A0E92" w:rsidRDefault="00FF29F0" w:rsidP="009A0135">
      <w:pPr>
        <w:pStyle w:val="af9"/>
        <w:ind w:left="944" w:firstLine="472"/>
      </w:pPr>
    </w:p>
    <w:p w:rsidR="00950597" w:rsidRPr="001A0E92" w:rsidRDefault="00950597" w:rsidP="009A0135">
      <w:pPr>
        <w:pStyle w:val="af9"/>
        <w:ind w:left="944" w:firstLine="472"/>
      </w:pPr>
      <w:r w:rsidRPr="001A0E92">
        <w:t>鼓勵電動車充電基礎設施政策：斯國政府將自彈性及復甦計畫中撥列</w:t>
      </w:r>
      <w:r w:rsidRPr="001A0E92">
        <w:t>4,600</w:t>
      </w:r>
      <w:r w:rsidRPr="001A0E92">
        <w:t>萬歐元，用於在全國高速公路沿線安裝超快充電基礎設施網絡，以及地方充電基礎設施等。充電站計劃部分，將於全國建立</w:t>
      </w:r>
      <w:r w:rsidRPr="001A0E92">
        <w:t>60</w:t>
      </w:r>
      <w:r w:rsidRPr="001A0E92">
        <w:t>多個充電站，包括</w:t>
      </w:r>
      <w:r w:rsidRPr="001A0E92">
        <w:t>230</w:t>
      </w:r>
      <w:r w:rsidRPr="001A0E92">
        <w:t>個充電點、</w:t>
      </w:r>
      <w:r w:rsidRPr="001A0E92">
        <w:t>4-6</w:t>
      </w:r>
      <w:r w:rsidRPr="001A0E92">
        <w:t>個至少</w:t>
      </w:r>
      <w:r w:rsidRPr="001A0E92">
        <w:t>150kW</w:t>
      </w:r>
      <w:r w:rsidRPr="001A0E92">
        <w:t>的超快速充電站。此外，地方政府亦可透過該計畫向中央政府申請興建充電基礎設備，以擴充斯國現有</w:t>
      </w:r>
      <w:r w:rsidRPr="001A0E92">
        <w:t>1,300</w:t>
      </w:r>
      <w:r w:rsidRPr="001A0E92">
        <w:t>多個公共充電站。</w:t>
      </w:r>
    </w:p>
    <w:p w:rsidR="00950597" w:rsidRPr="001A0E92" w:rsidRDefault="00950597" w:rsidP="009A0135">
      <w:pPr>
        <w:pStyle w:val="af9"/>
        <w:ind w:left="944" w:firstLine="472"/>
      </w:pPr>
      <w:r w:rsidRPr="001A0E92">
        <w:t>永續能源政策：能源政策為斯國經濟部重點業務。所擬訂「斯國能源政策草案」規劃斯國</w:t>
      </w:r>
      <w:r w:rsidRPr="001A0E92">
        <w:t>2035</w:t>
      </w:r>
      <w:r w:rsidRPr="001A0E92">
        <w:t>年之能源發展架構及目標，致力發展斯國低碳且具競爭力之經濟體，並與匈牙利、波蘭及奧地利建立天然氣網絡。另斯國經濟部持續發展氫氣相關技術研發，訂有國家氫戰略</w:t>
      </w:r>
      <w:r w:rsidR="004F0E9D" w:rsidRPr="001A0E92">
        <w:rPr>
          <w:rFonts w:hint="eastAsia"/>
        </w:rPr>
        <w:t>（</w:t>
      </w:r>
      <w:r w:rsidRPr="001A0E92">
        <w:t>National Hydrogen Strategy</w:t>
      </w:r>
      <w:r w:rsidR="004F0E9D" w:rsidRPr="001A0E92">
        <w:rPr>
          <w:rFonts w:hint="eastAsia"/>
        </w:rPr>
        <w:t>）</w:t>
      </w:r>
      <w:r w:rsidRPr="001A0E92">
        <w:t>，確認國家發展氫技術之戰略計畫，預計於</w:t>
      </w:r>
      <w:r w:rsidRPr="001A0E92">
        <w:t>2030</w:t>
      </w:r>
      <w:r w:rsidRPr="001A0E92">
        <w:t>年於全國各地興建</w:t>
      </w:r>
      <w:r w:rsidRPr="001A0E92">
        <w:t>25</w:t>
      </w:r>
      <w:r w:rsidRPr="001A0E92">
        <w:t>座加氫站，目前斯國第一座加氫站由石油公司</w:t>
      </w:r>
      <w:r w:rsidRPr="001A0E92">
        <w:t>Slovnaft</w:t>
      </w:r>
      <w:r w:rsidRPr="001A0E92">
        <w:t>在</w:t>
      </w:r>
      <w:r w:rsidRPr="001A0E92">
        <w:t>Bratislava</w:t>
      </w:r>
      <w:r w:rsidRPr="001A0E92">
        <w:t>營運，</w:t>
      </w:r>
      <w:r w:rsidRPr="001A0E92">
        <w:t>Messer Tatragas</w:t>
      </w:r>
      <w:r w:rsidRPr="001A0E92">
        <w:t>公司另規劃於</w:t>
      </w:r>
      <w:r w:rsidRPr="001A0E92">
        <w:t>Bratislava</w:t>
      </w:r>
      <w:r w:rsidRPr="001A0E92">
        <w:t>興建第</w:t>
      </w:r>
      <w:r w:rsidRPr="001A0E92">
        <w:t>2</w:t>
      </w:r>
      <w:r w:rsidRPr="001A0E92">
        <w:t>座。斯國</w:t>
      </w:r>
      <w:r w:rsidRPr="001A0E92">
        <w:t>BCF Energy</w:t>
      </w:r>
      <w:r w:rsidRPr="001A0E92">
        <w:t>亦有興建</w:t>
      </w:r>
      <w:r w:rsidRPr="001A0E92">
        <w:t>40</w:t>
      </w:r>
      <w:r w:rsidRPr="001A0E92">
        <w:t>個氫氣站的計畫，估計綠色氫氣日產量為</w:t>
      </w:r>
      <w:r w:rsidRPr="001A0E92">
        <w:t>4,000</w:t>
      </w:r>
      <w:r w:rsidRPr="001A0E92">
        <w:t>公斤。</w:t>
      </w:r>
    </w:p>
    <w:p w:rsidR="00950597" w:rsidRPr="001A0E92" w:rsidRDefault="00950597" w:rsidP="009A0135">
      <w:pPr>
        <w:pStyle w:val="af9"/>
        <w:ind w:left="944" w:firstLine="472"/>
      </w:pPr>
      <w:r w:rsidRPr="001A0E92">
        <w:t>斯國核電發展情形：斯國主張歐盟將核能列為永續技術</w:t>
      </w:r>
      <w:r w:rsidR="004F0E9D" w:rsidRPr="001A0E92">
        <w:rPr>
          <w:rFonts w:hint="eastAsia"/>
        </w:rPr>
        <w:t>（</w:t>
      </w:r>
      <w:r w:rsidRPr="001A0E92">
        <w:t>sustainable technologies</w:t>
      </w:r>
      <w:r w:rsidR="004F0E9D" w:rsidRPr="001A0E92">
        <w:rPr>
          <w:rFonts w:hint="eastAsia"/>
        </w:rPr>
        <w:t>）</w:t>
      </w:r>
      <w:r w:rsidRPr="001A0E92">
        <w:t>，並認為核能係支持氣候中和及減少碳排的工具之一。斯國核能發電占全國電力總供應量之</w:t>
      </w:r>
      <w:r w:rsidRPr="001A0E92">
        <w:t>55%</w:t>
      </w:r>
      <w:r w:rsidRPr="001A0E92">
        <w:t>，目前計有</w:t>
      </w:r>
      <w:r w:rsidRPr="001A0E92">
        <w:t>Bohunice 3</w:t>
      </w:r>
      <w:r w:rsidRPr="001A0E92">
        <w:t>及</w:t>
      </w:r>
      <w:r w:rsidRPr="001A0E92">
        <w:t>4</w:t>
      </w:r>
      <w:r w:rsidRPr="001A0E92">
        <w:t>、</w:t>
      </w:r>
      <w:r w:rsidRPr="001A0E92">
        <w:t>Mochovce 1</w:t>
      </w:r>
      <w:r w:rsidRPr="001A0E92">
        <w:t>、</w:t>
      </w:r>
      <w:r w:rsidRPr="001A0E92">
        <w:t>2</w:t>
      </w:r>
      <w:r w:rsidRPr="001A0E92">
        <w:t>、</w:t>
      </w:r>
      <w:r w:rsidRPr="001A0E92">
        <w:t>3</w:t>
      </w:r>
      <w:r w:rsidRPr="001A0E92">
        <w:t>等</w:t>
      </w:r>
      <w:r w:rsidRPr="001A0E92">
        <w:t>5</w:t>
      </w:r>
      <w:r w:rsidRPr="001A0E92">
        <w:t>個機組，另有</w:t>
      </w:r>
      <w:r w:rsidRPr="001A0E92">
        <w:t>Mochoviec 4</w:t>
      </w:r>
      <w:r w:rsidRPr="001A0E92">
        <w:t>刻正興建中，斯國總理</w:t>
      </w:r>
      <w:r w:rsidRPr="001A0E92">
        <w:t>Eduard Heager</w:t>
      </w:r>
      <w:r w:rsidRPr="001A0E92">
        <w:t>表示興建完成後斯國核能發電占總發電量將從</w:t>
      </w:r>
      <w:r w:rsidRPr="001A0E92">
        <w:t>55%</w:t>
      </w:r>
      <w:r w:rsidRPr="001A0E92">
        <w:t>提升到</w:t>
      </w:r>
      <w:r w:rsidRPr="001A0E92">
        <w:t>70%</w:t>
      </w:r>
      <w:r w:rsidRPr="001A0E92">
        <w:t>，並從</w:t>
      </w:r>
      <w:r w:rsidRPr="001A0E92">
        <w:t>2023</w:t>
      </w:r>
      <w:r w:rsidRPr="001A0E92">
        <w:t>年起執行火力發電廠關閉作業。</w:t>
      </w:r>
    </w:p>
    <w:p w:rsidR="00950597" w:rsidRPr="001A0E92" w:rsidRDefault="009A0135" w:rsidP="009A0135">
      <w:pPr>
        <w:pStyle w:val="af8"/>
        <w:ind w:left="944" w:hanging="708"/>
      </w:pPr>
      <w:r w:rsidRPr="001A0E92">
        <w:t>（</w:t>
      </w:r>
      <w:r w:rsidRPr="001A0E92">
        <w:rPr>
          <w:rFonts w:hint="eastAsia"/>
        </w:rPr>
        <w:t>三）</w:t>
      </w:r>
      <w:r w:rsidR="00950597" w:rsidRPr="001A0E92">
        <w:t>執行歐盟「數位轉型」</w:t>
      </w:r>
    </w:p>
    <w:p w:rsidR="00950597" w:rsidRPr="001A0E92" w:rsidRDefault="00950597" w:rsidP="009A0135">
      <w:pPr>
        <w:pStyle w:val="af9"/>
        <w:ind w:left="944" w:firstLine="472"/>
      </w:pPr>
      <w:r w:rsidRPr="001A0E92">
        <w:t>斯國投資、區域發展及資訊部</w:t>
      </w:r>
      <w:r w:rsidR="004F0E9D" w:rsidRPr="001A0E92">
        <w:rPr>
          <w:rFonts w:hint="eastAsia"/>
        </w:rPr>
        <w:t>（</w:t>
      </w:r>
      <w:r w:rsidRPr="001A0E92">
        <w:t>Ministry of Investments, Regional Development and Informatization</w:t>
      </w:r>
      <w:r w:rsidRPr="001A0E92">
        <w:t>，</w:t>
      </w:r>
      <w:r w:rsidRPr="001A0E92">
        <w:t>MIRRI</w:t>
      </w:r>
      <w:r w:rsidRPr="001A0E92">
        <w:t>，以下簡稱投資部</w:t>
      </w:r>
      <w:r w:rsidR="004F0E9D" w:rsidRPr="001A0E92">
        <w:rPr>
          <w:rFonts w:hint="eastAsia"/>
        </w:rPr>
        <w:t>）</w:t>
      </w:r>
      <w:r w:rsidRPr="001A0E92">
        <w:t xml:space="preserve"> </w:t>
      </w:r>
      <w:r w:rsidRPr="001A0E92">
        <w:t>配合歐盟數位轉型之願景，擬定</w:t>
      </w:r>
      <w:r w:rsidRPr="001A0E92">
        <w:t>2030</w:t>
      </w:r>
      <w:r w:rsidRPr="001A0E92">
        <w:t>年國家計畫「數位戰略轉型計畫</w:t>
      </w:r>
      <w:r w:rsidR="004F0E9D" w:rsidRPr="001A0E92">
        <w:rPr>
          <w:rFonts w:hint="eastAsia"/>
        </w:rPr>
        <w:t>（</w:t>
      </w:r>
      <w:r w:rsidRPr="001A0E92">
        <w:t>The 2030 Strategy for Digital Transformation of Slovakia</w:t>
      </w:r>
      <w:r w:rsidR="004F0E9D" w:rsidRPr="001A0E92">
        <w:rPr>
          <w:rFonts w:hint="eastAsia"/>
        </w:rPr>
        <w:t>）</w:t>
      </w:r>
      <w:r w:rsidRPr="001A0E92">
        <w:t>」，目標為以數位化提高公共行政服務效率、強化公民及勞動力數位化教育等，並發展如網路安全、物聯網、自動化機器人等數位技術。</w:t>
      </w:r>
    </w:p>
    <w:p w:rsidR="00950597" w:rsidRPr="001A0E92" w:rsidRDefault="009A0135" w:rsidP="009A0135">
      <w:pPr>
        <w:pStyle w:val="af8"/>
        <w:ind w:left="944" w:hanging="708"/>
      </w:pPr>
      <w:r w:rsidRPr="001A0E92">
        <w:t>（</w:t>
      </w:r>
      <w:r w:rsidRPr="001A0E92">
        <w:rPr>
          <w:rFonts w:hint="eastAsia"/>
        </w:rPr>
        <w:t>四）</w:t>
      </w:r>
      <w:r w:rsidR="00950597" w:rsidRPr="001A0E92">
        <w:t>產業政策</w:t>
      </w:r>
    </w:p>
    <w:p w:rsidR="00950597" w:rsidRPr="001A0E92" w:rsidRDefault="009A0135" w:rsidP="009A0135">
      <w:pPr>
        <w:pStyle w:val="afb"/>
        <w:ind w:left="1416" w:hanging="472"/>
      </w:pPr>
      <w:r w:rsidRPr="001A0E92">
        <w:rPr>
          <w:rFonts w:hint="eastAsia"/>
        </w:rPr>
        <w:t>１、</w:t>
      </w:r>
      <w:r w:rsidR="00950597" w:rsidRPr="001A0E92">
        <w:t>斯國經濟部以專業化智能策略</w:t>
      </w:r>
      <w:r w:rsidR="004F0E9D" w:rsidRPr="001A0E92">
        <w:rPr>
          <w:rFonts w:hint="eastAsia"/>
        </w:rPr>
        <w:t>（</w:t>
      </w:r>
      <w:r w:rsidR="00950597" w:rsidRPr="001A0E92">
        <w:t>Smart Specialization Strategy</w:t>
      </w:r>
      <w:r w:rsidR="00950597" w:rsidRPr="001A0E92">
        <w:t>，</w:t>
      </w:r>
      <w:r w:rsidR="00950597" w:rsidRPr="001A0E92">
        <w:t>RIS3</w:t>
      </w:r>
      <w:r w:rsidR="004F0E9D" w:rsidRPr="001A0E92">
        <w:rPr>
          <w:rFonts w:hint="eastAsia"/>
        </w:rPr>
        <w:t>）</w:t>
      </w:r>
      <w:r w:rsidR="00950597" w:rsidRPr="001A0E92">
        <w:t>，積極發展創新、交通、數位轉型、醫療、健康食品及環境等</w:t>
      </w:r>
      <w:r w:rsidR="00950597" w:rsidRPr="001A0E92">
        <w:t>5</w:t>
      </w:r>
      <w:r w:rsidR="00950597" w:rsidRPr="001A0E92">
        <w:t>大領域。其中創新產業項下又細分自動化、工業</w:t>
      </w:r>
      <w:r w:rsidR="00950597" w:rsidRPr="001A0E92">
        <w:t>4.0</w:t>
      </w:r>
      <w:r w:rsidR="00950597" w:rsidRPr="001A0E92">
        <w:t>、提高其附加價值的原料及半成品加工、先進技術與材料、能源效率、廢棄物管理、能源安全等。</w:t>
      </w:r>
    </w:p>
    <w:p w:rsidR="00950597" w:rsidRPr="001A0E92" w:rsidRDefault="00720093" w:rsidP="00720093">
      <w:pPr>
        <w:pStyle w:val="12"/>
        <w:ind w:left="2006" w:hanging="590"/>
      </w:pPr>
      <w:r w:rsidRPr="001A0E92">
        <w:rPr>
          <w:rFonts w:hint="eastAsia"/>
        </w:rPr>
        <w:t>（</w:t>
      </w:r>
      <w:r w:rsidRPr="001A0E92">
        <w:rPr>
          <w:rFonts w:hint="eastAsia"/>
        </w:rPr>
        <w:t>1</w:t>
      </w:r>
      <w:r w:rsidRPr="001A0E92">
        <w:rPr>
          <w:rFonts w:hint="eastAsia"/>
        </w:rPr>
        <w:t>）</w:t>
      </w:r>
      <w:r w:rsidR="00950597" w:rsidRPr="001A0E92">
        <w:t>斯總理府為鼓勵產業創新轉型及研發活動、強化斯國產學國際合作及實際應用，於</w:t>
      </w:r>
      <w:r w:rsidR="00950597" w:rsidRPr="001A0E92">
        <w:t>2023</w:t>
      </w:r>
      <w:r w:rsidR="00950597" w:rsidRPr="001A0E92">
        <w:t>年</w:t>
      </w:r>
      <w:r w:rsidR="00950597" w:rsidRPr="001A0E92">
        <w:t>2</w:t>
      </w:r>
      <w:r w:rsidR="00950597" w:rsidRPr="001A0E92">
        <w:t>月公告「轉型及創新聯盟</w:t>
      </w:r>
      <w:r w:rsidR="004F0E9D" w:rsidRPr="001A0E92">
        <w:rPr>
          <w:rFonts w:hint="eastAsia"/>
        </w:rPr>
        <w:t>（</w:t>
      </w:r>
      <w:r w:rsidR="00950597" w:rsidRPr="001A0E92">
        <w:t>Transformtion and Innovation Consortium</w:t>
      </w:r>
      <w:r w:rsidR="004F0E9D" w:rsidRPr="001A0E92">
        <w:rPr>
          <w:rFonts w:hint="eastAsia"/>
        </w:rPr>
        <w:t>（</w:t>
      </w:r>
      <w:r w:rsidR="00950597" w:rsidRPr="001A0E92">
        <w:t>TIK</w:t>
      </w:r>
      <w:r w:rsidR="004F0E9D" w:rsidRPr="001A0E92">
        <w:rPr>
          <w:rFonts w:hint="eastAsia"/>
        </w:rPr>
        <w:t>）</w:t>
      </w:r>
      <w:r w:rsidR="00950597" w:rsidRPr="001A0E92">
        <w:t>」研發計畫，預算總額</w:t>
      </w:r>
      <w:r w:rsidR="00950597" w:rsidRPr="001A0E92">
        <w:t>8,994</w:t>
      </w:r>
      <w:r w:rsidR="00950597" w:rsidRPr="001A0E92">
        <w:t>萬歐元來自歐盟彈性及復甦計畫，盼徵集斯國研究機構、大學、公司、外國科研機構、法人利益團體、自治區等提案申請。</w:t>
      </w:r>
    </w:p>
    <w:p w:rsidR="00950597" w:rsidRPr="001A0E92" w:rsidRDefault="004F0E9D" w:rsidP="00720093">
      <w:pPr>
        <w:pStyle w:val="12"/>
        <w:ind w:left="2006" w:hanging="590"/>
      </w:pPr>
      <w:r w:rsidRPr="001A0E92">
        <w:rPr>
          <w:rFonts w:hint="eastAsia"/>
        </w:rPr>
        <w:t>（</w:t>
      </w:r>
      <w:r w:rsidR="00950597" w:rsidRPr="001A0E92">
        <w:t>2</w:t>
      </w:r>
      <w:r w:rsidRPr="001A0E92">
        <w:rPr>
          <w:rFonts w:hint="eastAsia"/>
        </w:rPr>
        <w:t>）</w:t>
      </w:r>
      <w:r w:rsidR="00950597" w:rsidRPr="001A0E92">
        <w:t>半導體發展國家策略：配合歐盟發展半導體晶片在地化製造政策，斯國經濟部刻正研擬半導體發展策略，以制定相關產業支持政策。</w:t>
      </w:r>
    </w:p>
    <w:p w:rsidR="00950597" w:rsidRPr="001A0E92" w:rsidRDefault="009A0135" w:rsidP="009A0135">
      <w:pPr>
        <w:pStyle w:val="af8"/>
        <w:ind w:left="944" w:hanging="708"/>
      </w:pPr>
      <w:r w:rsidRPr="001A0E92">
        <w:t>（</w:t>
      </w:r>
      <w:r w:rsidRPr="001A0E92">
        <w:rPr>
          <w:rFonts w:hint="eastAsia"/>
        </w:rPr>
        <w:t>五）</w:t>
      </w:r>
      <w:r w:rsidR="00950597" w:rsidRPr="001A0E92">
        <w:t>貿易政策：斯國政府制定</w:t>
      </w:r>
      <w:r w:rsidR="00950597" w:rsidRPr="001A0E92">
        <w:t>2022</w:t>
      </w:r>
      <w:r w:rsidR="00950597" w:rsidRPr="001A0E92">
        <w:t>至</w:t>
      </w:r>
      <w:r w:rsidR="00950597" w:rsidRPr="001A0E92">
        <w:t>2030</w:t>
      </w:r>
      <w:r w:rsidR="00950597" w:rsidRPr="001A0E92">
        <w:t>年「對外經濟關係戰略」</w:t>
      </w:r>
      <w:r w:rsidR="004F0E9D" w:rsidRPr="001A0E92">
        <w:rPr>
          <w:rFonts w:hint="eastAsia"/>
        </w:rPr>
        <w:t>（</w:t>
      </w:r>
      <w:r w:rsidR="00950597" w:rsidRPr="001A0E92">
        <w:t>Strategy of External Economic Relations</w:t>
      </w:r>
      <w:r w:rsidR="004F0E9D" w:rsidRPr="001A0E92">
        <w:rPr>
          <w:rFonts w:hint="eastAsia"/>
        </w:rPr>
        <w:t>）</w:t>
      </w:r>
      <w:r w:rsidR="00950597" w:rsidRPr="001A0E92">
        <w:t>，其貿易政策係以協助提高貨品貿易及服務貿易出口、強化國際競爭力、促進外國投資、促進出口市場多元化等為目標。由斯國經濟部所轄商務局</w:t>
      </w:r>
      <w:r w:rsidR="004F0E9D" w:rsidRPr="001A0E92">
        <w:rPr>
          <w:rFonts w:hint="eastAsia"/>
        </w:rPr>
        <w:t>（</w:t>
      </w:r>
      <w:r w:rsidR="00950597" w:rsidRPr="001A0E92">
        <w:t>SBA</w:t>
      </w:r>
      <w:r w:rsidR="004F0E9D" w:rsidRPr="001A0E92">
        <w:rPr>
          <w:rFonts w:hint="eastAsia"/>
        </w:rPr>
        <w:t>）</w:t>
      </w:r>
      <w:r w:rsidR="00950597" w:rsidRPr="001A0E92">
        <w:t>及投資及貿易發展局</w:t>
      </w:r>
      <w:r w:rsidR="004F0E9D" w:rsidRPr="001A0E92">
        <w:rPr>
          <w:rFonts w:hint="eastAsia"/>
        </w:rPr>
        <w:t>（</w:t>
      </w:r>
      <w:r w:rsidR="00950597" w:rsidRPr="001A0E92">
        <w:t>SARIO</w:t>
      </w:r>
      <w:r w:rsidR="004F0E9D" w:rsidRPr="001A0E92">
        <w:rPr>
          <w:rFonts w:hint="eastAsia"/>
        </w:rPr>
        <w:t>）</w:t>
      </w:r>
      <w:r w:rsidR="00950597" w:rsidRPr="001A0E92">
        <w:t>負責執行協助廠商赴海外參展，協助中小企業拓銷。</w:t>
      </w:r>
    </w:p>
    <w:p w:rsidR="00950597" w:rsidRPr="001A0E92" w:rsidRDefault="009A0135" w:rsidP="009A0135">
      <w:pPr>
        <w:pStyle w:val="af8"/>
        <w:ind w:left="944" w:hanging="708"/>
      </w:pPr>
      <w:r w:rsidRPr="001A0E92">
        <w:t>（</w:t>
      </w:r>
      <w:r w:rsidRPr="001A0E92">
        <w:rPr>
          <w:rFonts w:hint="eastAsia"/>
        </w:rPr>
        <w:t>六）</w:t>
      </w:r>
      <w:r w:rsidR="00950597" w:rsidRPr="001A0E92">
        <w:t>智慧城市</w:t>
      </w:r>
    </w:p>
    <w:p w:rsidR="00950597" w:rsidRPr="001A0E92" w:rsidRDefault="00950597" w:rsidP="00720093">
      <w:pPr>
        <w:pStyle w:val="af9"/>
        <w:ind w:left="944" w:firstLine="472"/>
      </w:pPr>
      <w:r w:rsidRPr="001A0E92">
        <w:t>斯國投資、區域發展及資訊部</w:t>
      </w:r>
      <w:r w:rsidR="004F0E9D" w:rsidRPr="001A0E92">
        <w:rPr>
          <w:rFonts w:hint="eastAsia"/>
        </w:rPr>
        <w:t>（</w:t>
      </w:r>
      <w:r w:rsidRPr="001A0E92">
        <w:t>Ministry of Investments, Regional Development and Informatization</w:t>
      </w:r>
      <w:r w:rsidRPr="001A0E92">
        <w:t>，</w:t>
      </w:r>
      <w:r w:rsidRPr="001A0E92">
        <w:t>MIRRI</w:t>
      </w:r>
      <w:r w:rsidRPr="001A0E92">
        <w:t>，以下簡稱投資部</w:t>
      </w:r>
      <w:r w:rsidR="004F0E9D" w:rsidRPr="001A0E92">
        <w:rPr>
          <w:rFonts w:hint="eastAsia"/>
        </w:rPr>
        <w:t>）</w:t>
      </w:r>
      <w:r w:rsidRPr="001A0E92">
        <w:t>推動創新智慧城市，其制定之執行計畫</w:t>
      </w:r>
      <w:r w:rsidR="004F0E9D" w:rsidRPr="001A0E92">
        <w:rPr>
          <w:rFonts w:hint="eastAsia"/>
        </w:rPr>
        <w:t>（</w:t>
      </w:r>
      <w:r w:rsidRPr="001A0E92">
        <w:t>Operational Program</w:t>
      </w:r>
      <w:r w:rsidR="004F0E9D" w:rsidRPr="001A0E92">
        <w:rPr>
          <w:rFonts w:hint="eastAsia"/>
        </w:rPr>
        <w:t>）</w:t>
      </w:r>
      <w:r w:rsidRPr="001A0E92">
        <w:t>項目包括停車傳感器、空氣監測、人行道照明、城市公共交通管理系統、城市資訊系統的互連或數據的蒐集等智慧城市相關計畫。其預算來自歐盟，總計約</w:t>
      </w:r>
      <w:r w:rsidRPr="001A0E92">
        <w:t>1.1</w:t>
      </w:r>
      <w:r w:rsidRPr="001A0E92">
        <w:t>億歐元，其中</w:t>
      </w:r>
      <w:r w:rsidRPr="001A0E92">
        <w:t>40%</w:t>
      </w:r>
      <w:r w:rsidR="004F0E9D" w:rsidRPr="001A0E92">
        <w:rPr>
          <w:rFonts w:hint="eastAsia"/>
        </w:rPr>
        <w:t>（</w:t>
      </w:r>
      <w:r w:rsidRPr="001A0E92">
        <w:t>約</w:t>
      </w:r>
      <w:r w:rsidRPr="001A0E92">
        <w:t>4,000</w:t>
      </w:r>
      <w:r w:rsidRPr="001A0E92">
        <w:t>萬歐元</w:t>
      </w:r>
      <w:r w:rsidR="004F0E9D" w:rsidRPr="001A0E92">
        <w:rPr>
          <w:rFonts w:hint="eastAsia"/>
        </w:rPr>
        <w:t>）</w:t>
      </w:r>
      <w:r w:rsidRPr="001A0E92">
        <w:t>將由中央政府投資部統籌規劃全國跨省之共同</w:t>
      </w:r>
      <w:r w:rsidR="004F0E9D" w:rsidRPr="001A0E92">
        <w:rPr>
          <w:rFonts w:hint="eastAsia"/>
        </w:rPr>
        <w:t>（</w:t>
      </w:r>
      <w:r w:rsidRPr="001A0E92">
        <w:t>horizontal</w:t>
      </w:r>
      <w:r w:rsidR="004F0E9D" w:rsidRPr="001A0E92">
        <w:rPr>
          <w:rFonts w:hint="eastAsia"/>
        </w:rPr>
        <w:t>）</w:t>
      </w:r>
      <w:r w:rsidRPr="001A0E92">
        <w:t>建設、</w:t>
      </w:r>
      <w:r w:rsidRPr="001A0E92">
        <w:t>60%</w:t>
      </w:r>
      <w:r w:rsidR="004F0E9D" w:rsidRPr="001A0E92">
        <w:rPr>
          <w:rFonts w:hint="eastAsia"/>
        </w:rPr>
        <w:t>（</w:t>
      </w:r>
      <w:r w:rsidRPr="001A0E92">
        <w:t>約</w:t>
      </w:r>
      <w:r w:rsidRPr="001A0E92">
        <w:t>6,000</w:t>
      </w:r>
      <w:r w:rsidRPr="001A0E92">
        <w:t>萬歐元</w:t>
      </w:r>
      <w:r w:rsidR="004F0E9D" w:rsidRPr="001A0E92">
        <w:rPr>
          <w:rFonts w:hint="eastAsia"/>
        </w:rPr>
        <w:t>）</w:t>
      </w:r>
      <w:r w:rsidRPr="001A0E92">
        <w:t>撥由地方政府</w:t>
      </w:r>
      <w:r w:rsidR="004F0E9D" w:rsidRPr="001A0E92">
        <w:rPr>
          <w:rFonts w:hint="eastAsia"/>
        </w:rPr>
        <w:t>（</w:t>
      </w:r>
      <w:r w:rsidRPr="001A0E92">
        <w:t>由省市政府成立委員會</w:t>
      </w:r>
      <w:r w:rsidR="004F0E9D" w:rsidRPr="001A0E92">
        <w:rPr>
          <w:rFonts w:hint="eastAsia"/>
        </w:rPr>
        <w:t>）</w:t>
      </w:r>
      <w:r w:rsidRPr="001A0E92">
        <w:t>討論地方需求。中央及地方政府之招標均統由投資部處理。</w:t>
      </w:r>
    </w:p>
    <w:p w:rsidR="00950597" w:rsidRPr="001A0E92" w:rsidRDefault="00720093" w:rsidP="00720093">
      <w:pPr>
        <w:pStyle w:val="af8"/>
        <w:ind w:left="944" w:hanging="708"/>
      </w:pPr>
      <w:r w:rsidRPr="001A0E92">
        <w:rPr>
          <w:rFonts w:hint="eastAsia"/>
        </w:rPr>
        <w:t>（七）</w:t>
      </w:r>
      <w:r w:rsidR="00950597" w:rsidRPr="001A0E92">
        <w:t>5G</w:t>
      </w:r>
      <w:r w:rsidR="00950597" w:rsidRPr="001A0E92">
        <w:t>發展</w:t>
      </w:r>
    </w:p>
    <w:p w:rsidR="00950597" w:rsidRPr="001A0E92" w:rsidRDefault="00950597" w:rsidP="00720093">
      <w:pPr>
        <w:pStyle w:val="af9"/>
        <w:ind w:left="944" w:firstLine="472"/>
      </w:pPr>
      <w:r w:rsidRPr="001A0E92">
        <w:t>斯國交通及建設部</w:t>
      </w:r>
      <w:r w:rsidR="004F0E9D" w:rsidRPr="001A0E92">
        <w:rPr>
          <w:rFonts w:hint="eastAsia"/>
        </w:rPr>
        <w:t>（</w:t>
      </w:r>
      <w:r w:rsidRPr="001A0E92">
        <w:t>Ministry of Transport and Construction</w:t>
      </w:r>
      <w:r w:rsidR="004F0E9D" w:rsidRPr="001A0E92">
        <w:rPr>
          <w:rFonts w:hint="eastAsia"/>
        </w:rPr>
        <w:t>）</w:t>
      </w:r>
      <w:r w:rsidRPr="001A0E92">
        <w:t>為</w:t>
      </w:r>
      <w:r w:rsidRPr="001A0E92">
        <w:t>5G</w:t>
      </w:r>
      <w:r w:rsidRPr="001A0E92">
        <w:t>產業發展之主管單位，根據該部制定之「</w:t>
      </w:r>
      <w:r w:rsidRPr="001A0E92">
        <w:t>2020-2025</w:t>
      </w:r>
      <w:r w:rsidRPr="001A0E92">
        <w:t>國家</w:t>
      </w:r>
      <w:r w:rsidRPr="001A0E92">
        <w:t>5G</w:t>
      </w:r>
      <w:r w:rsidRPr="001A0E92">
        <w:t>發展計畫」</w:t>
      </w:r>
      <w:r w:rsidR="004F0E9D" w:rsidRPr="001A0E92">
        <w:rPr>
          <w:rFonts w:hint="eastAsia"/>
        </w:rPr>
        <w:t>（</w:t>
      </w:r>
      <w:r w:rsidRPr="001A0E92">
        <w:t>Support for the development of 5G networks in Slovakia for the years 2020 - 2025</w:t>
      </w:r>
      <w:r w:rsidR="004F0E9D" w:rsidRPr="001A0E92">
        <w:rPr>
          <w:rFonts w:hint="eastAsia"/>
        </w:rPr>
        <w:t>）</w:t>
      </w:r>
      <w:r w:rsidRPr="001A0E92">
        <w:t>，該部配合歐盟「連接歐洲千兆位元社會」（</w:t>
      </w:r>
      <w:r w:rsidRPr="001A0E92">
        <w:t>Connectivity for a European Gigabit Society</w:t>
      </w:r>
      <w:r w:rsidRPr="001A0E92">
        <w:t>）計畫推動</w:t>
      </w:r>
      <w:r w:rsidRPr="001A0E92">
        <w:t>5G</w:t>
      </w:r>
      <w:r w:rsidRPr="001A0E92">
        <w:t>網絡發展，包括重組及連結斯國與歐洲網絡的頻譜、制定相關立法、投資高容量連接的建設</w:t>
      </w:r>
      <w:r w:rsidR="004F0E9D" w:rsidRPr="001A0E92">
        <w:rPr>
          <w:rFonts w:hint="eastAsia"/>
        </w:rPr>
        <w:t>（</w:t>
      </w:r>
      <w:r w:rsidRPr="001A0E92">
        <w:t>按</w:t>
      </w:r>
      <w:r w:rsidRPr="001A0E92">
        <w:t>5G</w:t>
      </w:r>
      <w:r w:rsidRPr="001A0E92">
        <w:t>基礎建設由斯國投資部及交通部共同辦理</w:t>
      </w:r>
      <w:r w:rsidR="004F0E9D" w:rsidRPr="001A0E92">
        <w:rPr>
          <w:rFonts w:hint="eastAsia"/>
        </w:rPr>
        <w:t>）</w:t>
      </w:r>
      <w:r w:rsidRPr="001A0E92">
        <w:t>等，鑒於</w:t>
      </w:r>
      <w:r w:rsidRPr="001A0E92">
        <w:t>5G</w:t>
      </w:r>
      <w:r w:rsidRPr="001A0E92">
        <w:t>技術與工業</w:t>
      </w:r>
      <w:r w:rsidRPr="001A0E92">
        <w:t>4.0</w:t>
      </w:r>
      <w:r w:rsidRPr="001A0E92">
        <w:t>、智慧農業、醫療保健、自駕車、智能電網等息息相關，該部目標為在</w:t>
      </w:r>
      <w:r w:rsidRPr="001A0E92">
        <w:t>2025</w:t>
      </w:r>
      <w:r w:rsidRPr="001A0E92">
        <w:t>年底前使</w:t>
      </w:r>
      <w:r w:rsidRPr="001A0E92">
        <w:t>5G</w:t>
      </w:r>
      <w:r w:rsidRPr="001A0E92">
        <w:t>網絡覆蓋全國</w:t>
      </w:r>
      <w:r w:rsidRPr="001A0E92">
        <w:t>95%</w:t>
      </w:r>
      <w:r w:rsidRPr="001A0E92">
        <w:t>的城市人口，另</w:t>
      </w:r>
      <w:r w:rsidRPr="001A0E92">
        <w:t>2027</w:t>
      </w:r>
      <w:r w:rsidRPr="001A0E92">
        <w:t>年底覆蓋城市以外的</w:t>
      </w:r>
      <w:r w:rsidRPr="001A0E92">
        <w:t>90%</w:t>
      </w:r>
      <w:r w:rsidRPr="001A0E92">
        <w:t>的人口。</w:t>
      </w:r>
    </w:p>
    <w:p w:rsidR="00950597" w:rsidRPr="001A0E92" w:rsidRDefault="00950597" w:rsidP="00720093">
      <w:pPr>
        <w:pStyle w:val="af9"/>
        <w:ind w:left="944" w:firstLine="472"/>
      </w:pPr>
      <w:r w:rsidRPr="001A0E92">
        <w:t>根據</w:t>
      </w:r>
      <w:r w:rsidRPr="001A0E92">
        <w:t>Techbyte</w:t>
      </w:r>
      <w:r w:rsidRPr="001A0E92">
        <w:t>於</w:t>
      </w:r>
      <w:r w:rsidRPr="001A0E92">
        <w:t>2023</w:t>
      </w:r>
      <w:r w:rsidRPr="001A0E92">
        <w:t>年</w:t>
      </w:r>
      <w:r w:rsidRPr="001A0E92">
        <w:t>3</w:t>
      </w:r>
      <w:r w:rsidRPr="001A0E92">
        <w:t>月報導，目前斯國業者</w:t>
      </w:r>
      <w:r w:rsidRPr="001A0E92">
        <w:t>5G</w:t>
      </w:r>
      <w:r w:rsidRPr="001A0E92">
        <w:t>網路服務以</w:t>
      </w:r>
      <w:r w:rsidRPr="001A0E92">
        <w:t>Telecom</w:t>
      </w:r>
      <w:r w:rsidRPr="001A0E92">
        <w:t>為首</w:t>
      </w:r>
      <w:r w:rsidR="004F0E9D" w:rsidRPr="001A0E92">
        <w:rPr>
          <w:rFonts w:hint="eastAsia"/>
        </w:rPr>
        <w:t>（</w:t>
      </w:r>
      <w:r w:rsidRPr="001A0E92">
        <w:t>5G</w:t>
      </w:r>
      <w:r w:rsidRPr="001A0E92">
        <w:t>網路可供</w:t>
      </w:r>
      <w:r w:rsidRPr="001A0E92">
        <w:t>40%</w:t>
      </w:r>
      <w:r w:rsidRPr="001A0E92">
        <w:t>斯國人口使用，計</w:t>
      </w:r>
      <w:r w:rsidRPr="001A0E92">
        <w:t>52</w:t>
      </w:r>
      <w:r w:rsidRPr="001A0E92">
        <w:t>個城市</w:t>
      </w:r>
      <w:r w:rsidR="004F0E9D" w:rsidRPr="001A0E92">
        <w:rPr>
          <w:rFonts w:hint="eastAsia"/>
        </w:rPr>
        <w:t>）</w:t>
      </w:r>
      <w:r w:rsidRPr="001A0E92">
        <w:t>，其次為</w:t>
      </w:r>
      <w:r w:rsidRPr="001A0E92">
        <w:t>O2</w:t>
      </w:r>
      <w:r w:rsidR="004F0E9D" w:rsidRPr="001A0E92">
        <w:rPr>
          <w:rFonts w:hint="eastAsia"/>
        </w:rPr>
        <w:t>（</w:t>
      </w:r>
      <w:r w:rsidRPr="001A0E92">
        <w:t>覆蓋率</w:t>
      </w:r>
      <w:r w:rsidRPr="001A0E92">
        <w:t>38%</w:t>
      </w:r>
      <w:r w:rsidR="004F0E9D" w:rsidRPr="001A0E92">
        <w:rPr>
          <w:rFonts w:hint="eastAsia"/>
        </w:rPr>
        <w:t>）</w:t>
      </w:r>
      <w:r w:rsidRPr="001A0E92">
        <w:t>，</w:t>
      </w:r>
      <w:r w:rsidRPr="001A0E92">
        <w:t>Orange</w:t>
      </w:r>
      <w:r w:rsidRPr="001A0E92">
        <w:t>為第三</w:t>
      </w:r>
      <w:r w:rsidR="004F0E9D" w:rsidRPr="001A0E92">
        <w:rPr>
          <w:rFonts w:hint="eastAsia"/>
        </w:rPr>
        <w:t>（</w:t>
      </w:r>
      <w:r w:rsidRPr="001A0E92">
        <w:t>覆蓋率</w:t>
      </w:r>
      <w:r w:rsidRPr="001A0E92">
        <w:t>33%</w:t>
      </w:r>
      <w:r w:rsidR="004F0E9D" w:rsidRPr="001A0E92">
        <w:rPr>
          <w:rFonts w:hint="eastAsia"/>
        </w:rPr>
        <w:t>）</w:t>
      </w:r>
      <w:r w:rsidRPr="001A0E92">
        <w:t>。目前包括</w:t>
      </w:r>
      <w:r w:rsidRPr="001A0E92">
        <w:t>Bratislava</w:t>
      </w:r>
      <w:r w:rsidRPr="001A0E92">
        <w:t>、</w:t>
      </w:r>
      <w:r w:rsidRPr="001A0E92">
        <w:t>Kosice</w:t>
      </w:r>
      <w:r w:rsidRPr="001A0E92">
        <w:t>、</w:t>
      </w:r>
      <w:r w:rsidRPr="001A0E92">
        <w:t>Nitra</w:t>
      </w:r>
      <w:r w:rsidRPr="001A0E92">
        <w:t>及</w:t>
      </w:r>
      <w:r w:rsidRPr="001A0E92">
        <w:t>zilina</w:t>
      </w:r>
      <w:r w:rsidRPr="001A0E92">
        <w:t>等主要城市及周邊區域皆有</w:t>
      </w:r>
      <w:r w:rsidRPr="001A0E92">
        <w:t>5G</w:t>
      </w:r>
      <w:r w:rsidRPr="001A0E92">
        <w:t>網路。</w:t>
      </w:r>
    </w:p>
    <w:p w:rsidR="00950597" w:rsidRPr="001A0E92" w:rsidRDefault="00720093" w:rsidP="00720093">
      <w:pPr>
        <w:pStyle w:val="af8"/>
        <w:ind w:left="944" w:hanging="708"/>
      </w:pPr>
      <w:r w:rsidRPr="001A0E92">
        <w:t>（</w:t>
      </w:r>
      <w:r w:rsidRPr="001A0E92">
        <w:rPr>
          <w:rFonts w:hint="eastAsia"/>
        </w:rPr>
        <w:t>八</w:t>
      </w:r>
      <w:r w:rsidR="004F0E9D" w:rsidRPr="001A0E92">
        <w:rPr>
          <w:rFonts w:hint="eastAsia"/>
        </w:rPr>
        <w:t>）</w:t>
      </w:r>
      <w:r w:rsidR="00950597" w:rsidRPr="001A0E92">
        <w:t>未來展望</w:t>
      </w:r>
    </w:p>
    <w:p w:rsidR="00950597" w:rsidRPr="001A0E92" w:rsidRDefault="00720093" w:rsidP="00720093">
      <w:pPr>
        <w:pStyle w:val="afb"/>
        <w:ind w:left="1416" w:hanging="472"/>
      </w:pPr>
      <w:r w:rsidRPr="001A0E92">
        <w:t>１</w:t>
      </w:r>
      <w:r w:rsidRPr="001A0E92">
        <w:rPr>
          <w:rFonts w:hint="eastAsia"/>
        </w:rPr>
        <w:t>、</w:t>
      </w:r>
      <w:r w:rsidR="00950597" w:rsidRPr="001A0E92">
        <w:t>斯國財政部表示，拜</w:t>
      </w:r>
      <w:r w:rsidR="00950597" w:rsidRPr="001A0E92">
        <w:t>2022</w:t>
      </w:r>
      <w:r w:rsidR="00950597" w:rsidRPr="001A0E92">
        <w:t>年底</w:t>
      </w:r>
      <w:r w:rsidR="00950597" w:rsidRPr="001A0E92">
        <w:t>60</w:t>
      </w:r>
      <w:r w:rsidR="00950597" w:rsidRPr="001A0E92">
        <w:t>億歐元巨額補貼能源價格預算案通過之賜，斯國</w:t>
      </w:r>
      <w:r w:rsidR="00950597" w:rsidRPr="001A0E92">
        <w:t>2023</w:t>
      </w:r>
      <w:r w:rsidR="00950597" w:rsidRPr="001A0E92">
        <w:t>年經濟表現預測上修：經濟成長將為</w:t>
      </w:r>
      <w:r w:rsidR="00950597" w:rsidRPr="001A0E92">
        <w:t>1.3%</w:t>
      </w:r>
      <w:r w:rsidR="00950597" w:rsidRPr="001A0E92">
        <w:t>、通膨將降至</w:t>
      </w:r>
      <w:r w:rsidR="00950597" w:rsidRPr="001A0E92">
        <w:t>9.8%</w:t>
      </w:r>
      <w:r w:rsidR="00950597" w:rsidRPr="001A0E92">
        <w:t>。另</w:t>
      </w:r>
      <w:r w:rsidR="00950597" w:rsidRPr="001A0E92">
        <w:t>2023</w:t>
      </w:r>
      <w:r w:rsidR="00950597" w:rsidRPr="001A0E92">
        <w:t>年度國內需求及歐盟復甦基金各項計畫之執行將是帶動經濟成長的主因，就業率表現亦被看好。</w:t>
      </w:r>
    </w:p>
    <w:p w:rsidR="00950597" w:rsidRPr="001A0E92" w:rsidRDefault="00720093" w:rsidP="00720093">
      <w:pPr>
        <w:pStyle w:val="afb"/>
        <w:ind w:left="1416" w:hanging="472"/>
      </w:pPr>
      <w:r w:rsidRPr="001A0E92">
        <w:t>２</w:t>
      </w:r>
      <w:r w:rsidRPr="001A0E92">
        <w:rPr>
          <w:rFonts w:hint="eastAsia"/>
        </w:rPr>
        <w:t>、</w:t>
      </w:r>
      <w:r w:rsidR="00950597" w:rsidRPr="001A0E92">
        <w:t>根據國家預算委員會</w:t>
      </w:r>
      <w:r w:rsidR="004F0E9D" w:rsidRPr="001A0E92">
        <w:rPr>
          <w:rFonts w:hint="eastAsia"/>
        </w:rPr>
        <w:t>（</w:t>
      </w:r>
      <w:r w:rsidR="00950597" w:rsidRPr="001A0E92">
        <w:t>The Council for Budget Reponsibility</w:t>
      </w:r>
      <w:r w:rsidR="00950597" w:rsidRPr="001A0E92">
        <w:t>，</w:t>
      </w:r>
      <w:r w:rsidR="00950597" w:rsidRPr="001A0E92">
        <w:t>RRZ</w:t>
      </w:r>
      <w:r w:rsidR="004F0E9D" w:rsidRPr="001A0E92">
        <w:rPr>
          <w:rFonts w:hint="eastAsia"/>
        </w:rPr>
        <w:t>）</w:t>
      </w:r>
      <w:r w:rsidR="00950597" w:rsidRPr="001A0E92">
        <w:t>更新之宏觀經濟預測，</w:t>
      </w:r>
      <w:r w:rsidR="00950597" w:rsidRPr="001A0E92">
        <w:t>2023</w:t>
      </w:r>
      <w:r w:rsidR="00950597" w:rsidRPr="001A0E92">
        <w:t>年斯國財政赤字可能達</w:t>
      </w:r>
      <w:r w:rsidR="00950597" w:rsidRPr="001A0E92">
        <w:t>6%</w:t>
      </w:r>
      <w:r w:rsidR="00950597" w:rsidRPr="001A0E92">
        <w:t>，</w:t>
      </w:r>
      <w:r w:rsidR="00950597" w:rsidRPr="001A0E92">
        <w:t>2024</w:t>
      </w:r>
      <w:r w:rsidR="00950597" w:rsidRPr="001A0E92">
        <w:t>至</w:t>
      </w:r>
      <w:r w:rsidR="00950597" w:rsidRPr="001A0E92">
        <w:t>2026</w:t>
      </w:r>
      <w:r w:rsidR="00950597" w:rsidRPr="001A0E92">
        <w:t>年則約為</w:t>
      </w:r>
      <w:r w:rsidR="00950597" w:rsidRPr="001A0E92">
        <w:t>4.5-5.0%</w:t>
      </w:r>
      <w:r w:rsidR="00950597" w:rsidRPr="001A0E92">
        <w:t>。</w:t>
      </w:r>
    </w:p>
    <w:p w:rsidR="00950597" w:rsidRPr="001A0E92" w:rsidRDefault="00950597" w:rsidP="00FF29F0">
      <w:pPr>
        <w:pStyle w:val="af3"/>
        <w:spacing w:before="257" w:after="257"/>
        <w:ind w:left="632" w:hanging="632"/>
        <w:rPr>
          <w:color w:val="auto"/>
        </w:rPr>
      </w:pPr>
      <w:r w:rsidRPr="001A0E92">
        <w:rPr>
          <w:color w:val="auto"/>
        </w:rPr>
        <w:t>五、市場環境分析及概況</w:t>
      </w:r>
    </w:p>
    <w:p w:rsidR="00950597" w:rsidRPr="001A0E92" w:rsidRDefault="00950597" w:rsidP="00720093">
      <w:pPr>
        <w:pStyle w:val="a0"/>
        <w:ind w:firstLine="472"/>
      </w:pPr>
      <w:r w:rsidRPr="001A0E92">
        <w:t>斯洛伐克市場環境</w:t>
      </w:r>
      <w:r w:rsidRPr="001A0E92">
        <w:t>SWOT</w:t>
      </w:r>
      <w:r w:rsidRPr="001A0E92">
        <w:t>分析表</w:t>
      </w:r>
    </w:p>
    <w:tbl>
      <w:tblPr>
        <w:tblW w:w="8789" w:type="dxa"/>
        <w:tblInd w:w="-157" w:type="dxa"/>
        <w:tblLayout w:type="fixed"/>
        <w:tblCellMar>
          <w:left w:w="10" w:type="dxa"/>
          <w:right w:w="10" w:type="dxa"/>
        </w:tblCellMar>
        <w:tblLook w:val="04A0" w:firstRow="1" w:lastRow="0" w:firstColumn="1" w:lastColumn="0" w:noHBand="0" w:noVBand="1"/>
      </w:tblPr>
      <w:tblGrid>
        <w:gridCol w:w="4241"/>
        <w:gridCol w:w="4548"/>
      </w:tblGrid>
      <w:tr w:rsidR="001A0E92" w:rsidRPr="001A0E92" w:rsidTr="00950597">
        <w:tc>
          <w:tcPr>
            <w:tcW w:w="4241" w:type="dxa"/>
            <w:tcBorders>
              <w:top w:val="single" w:sz="12" w:space="0" w:color="00000A"/>
              <w:left w:val="single" w:sz="12" w:space="0" w:color="00000A"/>
              <w:bottom w:val="single" w:sz="6" w:space="0" w:color="00000A"/>
              <w:right w:val="single" w:sz="6" w:space="0" w:color="00000A"/>
            </w:tcBorders>
            <w:shd w:val="clear" w:color="auto" w:fill="auto"/>
            <w:tcMar>
              <w:top w:w="0" w:type="dxa"/>
              <w:left w:w="57" w:type="dxa"/>
              <w:bottom w:w="0" w:type="dxa"/>
              <w:right w:w="57" w:type="dxa"/>
            </w:tcMar>
          </w:tcPr>
          <w:p w:rsidR="00950597" w:rsidRPr="001A0E92" w:rsidRDefault="00950597" w:rsidP="00950597">
            <w:pPr>
              <w:pStyle w:val="aff"/>
              <w:ind w:left="472" w:hanging="472"/>
              <w:jc w:val="both"/>
            </w:pPr>
            <w:r w:rsidRPr="001A0E92">
              <w:t>Strength</w:t>
            </w:r>
            <w:r w:rsidRPr="001A0E92">
              <w:t>（優勢）</w:t>
            </w:r>
          </w:p>
          <w:p w:rsidR="00950597" w:rsidRPr="001A0E92" w:rsidRDefault="00950597" w:rsidP="00950597">
            <w:pPr>
              <w:pStyle w:val="aff"/>
              <w:ind w:left="472" w:hanging="472"/>
              <w:jc w:val="both"/>
            </w:pPr>
            <w:r w:rsidRPr="001A0E92">
              <w:t>一、自</w:t>
            </w:r>
            <w:r w:rsidRPr="001A0E92">
              <w:t>1998</w:t>
            </w:r>
            <w:r w:rsidRPr="001A0E92">
              <w:t>年以來斯洛伐克兩任政府致力於政經改革，落實民營化與經貿法令之修改。廢除公司紅利稅，外人獲利可全數匯出，無任何限制。</w:t>
            </w:r>
          </w:p>
          <w:p w:rsidR="00950597" w:rsidRPr="001A0E92" w:rsidRDefault="00950597" w:rsidP="00950597">
            <w:pPr>
              <w:pStyle w:val="aff"/>
              <w:ind w:left="472" w:hanging="472"/>
              <w:jc w:val="both"/>
            </w:pPr>
            <w:r w:rsidRPr="001A0E92">
              <w:t>二、為歐盟申根區及歐元區，商業及投資環境穩定。位於歐洲中心地帶，地理位置優越，吸引外商在此投資，進行製造及發貨銷往歐盟市場。</w:t>
            </w:r>
          </w:p>
        </w:tc>
        <w:tc>
          <w:tcPr>
            <w:tcW w:w="4548" w:type="dxa"/>
            <w:tcBorders>
              <w:top w:val="single" w:sz="12" w:space="0" w:color="00000A"/>
              <w:left w:val="single" w:sz="6" w:space="0" w:color="00000A"/>
              <w:bottom w:val="single" w:sz="6" w:space="0" w:color="00000A"/>
              <w:right w:val="single" w:sz="12" w:space="0" w:color="00000A"/>
            </w:tcBorders>
            <w:shd w:val="clear" w:color="auto" w:fill="auto"/>
            <w:tcMar>
              <w:top w:w="0" w:type="dxa"/>
              <w:left w:w="57" w:type="dxa"/>
              <w:bottom w:w="0" w:type="dxa"/>
              <w:right w:w="57" w:type="dxa"/>
            </w:tcMar>
          </w:tcPr>
          <w:p w:rsidR="00950597" w:rsidRPr="001A0E92" w:rsidRDefault="00950597" w:rsidP="00950597">
            <w:pPr>
              <w:pStyle w:val="aff"/>
              <w:ind w:left="472" w:hanging="472"/>
              <w:jc w:val="both"/>
            </w:pPr>
            <w:r w:rsidRPr="001A0E92">
              <w:t>Opportunity</w:t>
            </w:r>
            <w:r w:rsidRPr="001A0E92">
              <w:t>（機會）</w:t>
            </w:r>
          </w:p>
          <w:p w:rsidR="00950597" w:rsidRPr="001A0E92" w:rsidRDefault="00950597" w:rsidP="00950597">
            <w:pPr>
              <w:pStyle w:val="aff"/>
              <w:ind w:left="472" w:hanging="472"/>
              <w:jc w:val="both"/>
            </w:pPr>
            <w:r w:rsidRPr="001A0E92">
              <w:t>一、由於</w:t>
            </w:r>
            <w:r w:rsidRPr="001A0E92">
              <w:t>Volkswagen</w:t>
            </w:r>
            <w:r w:rsidRPr="001A0E92">
              <w:t>、</w:t>
            </w:r>
            <w:r w:rsidRPr="001A0E92">
              <w:t>KIA</w:t>
            </w:r>
            <w:r w:rsidRPr="001A0E92">
              <w:t>、</w:t>
            </w:r>
            <w:r w:rsidRPr="001A0E92">
              <w:t>Stellantis</w:t>
            </w:r>
            <w:r w:rsidRPr="001A0E92">
              <w:t>、</w:t>
            </w:r>
            <w:r w:rsidRPr="001A0E92">
              <w:t>Jaguar Land Rover</w:t>
            </w:r>
            <w:r w:rsidRPr="001A0E92">
              <w:t>等四家外商在斯國投資設廠，斯國已成為汽車製造大國，另</w:t>
            </w:r>
            <w:r w:rsidRPr="001A0E92">
              <w:t>Volvo</w:t>
            </w:r>
            <w:r w:rsidRPr="001A0E92">
              <w:t>已宣布在斯投資</w:t>
            </w:r>
            <w:r w:rsidRPr="001A0E92">
              <w:t>EV</w:t>
            </w:r>
            <w:r w:rsidRPr="001A0E92">
              <w:t>組裝廠，預計</w:t>
            </w:r>
            <w:r w:rsidRPr="001A0E92">
              <w:t>2027</w:t>
            </w:r>
            <w:r w:rsidRPr="001A0E92">
              <w:t>年量產，屆時斯國汽車工業將有五大車廠。對斯國經貿發展繼續挹注成長動力。</w:t>
            </w:r>
          </w:p>
          <w:p w:rsidR="00950597" w:rsidRPr="001A0E92" w:rsidRDefault="00950597" w:rsidP="00950597">
            <w:pPr>
              <w:pStyle w:val="aff"/>
              <w:ind w:left="472" w:hanging="472"/>
              <w:jc w:val="both"/>
            </w:pPr>
            <w:r w:rsidRPr="001A0E92">
              <w:t>二、斯國業者逐漸自亞洲國家尋求進口替代產品，因此，我國機器、手工具、自行車等逐漸在斯國具有拓銷潛力暨競爭優勢。</w:t>
            </w:r>
          </w:p>
        </w:tc>
      </w:tr>
      <w:tr w:rsidR="001A0E92" w:rsidRPr="001A0E92" w:rsidTr="00950597">
        <w:tc>
          <w:tcPr>
            <w:tcW w:w="4241" w:type="dxa"/>
            <w:tcBorders>
              <w:top w:val="single" w:sz="6" w:space="0" w:color="00000A"/>
              <w:left w:val="single" w:sz="12" w:space="0" w:color="00000A"/>
              <w:bottom w:val="single" w:sz="12" w:space="0" w:color="00000A"/>
              <w:right w:val="single" w:sz="6" w:space="0" w:color="00000A"/>
            </w:tcBorders>
            <w:shd w:val="clear" w:color="auto" w:fill="auto"/>
            <w:tcMar>
              <w:top w:w="0" w:type="dxa"/>
              <w:left w:w="57" w:type="dxa"/>
              <w:bottom w:w="0" w:type="dxa"/>
              <w:right w:w="57" w:type="dxa"/>
            </w:tcMar>
          </w:tcPr>
          <w:p w:rsidR="00950597" w:rsidRPr="001A0E92" w:rsidRDefault="00950597" w:rsidP="00950597">
            <w:pPr>
              <w:pStyle w:val="aff"/>
              <w:ind w:left="472" w:hanging="472"/>
              <w:jc w:val="both"/>
            </w:pPr>
            <w:r w:rsidRPr="001A0E92">
              <w:t>Weakness</w:t>
            </w:r>
            <w:r w:rsidRPr="001A0E92">
              <w:t>（弱勢）</w:t>
            </w:r>
          </w:p>
          <w:p w:rsidR="00950597" w:rsidRPr="001A0E92" w:rsidRDefault="00950597" w:rsidP="00950597">
            <w:pPr>
              <w:pStyle w:val="aff"/>
              <w:ind w:left="472" w:hanging="472"/>
              <w:jc w:val="both"/>
            </w:pPr>
            <w:r w:rsidRPr="001A0E92">
              <w:t>一、斯國人口僅</w:t>
            </w:r>
            <w:r w:rsidRPr="001A0E92">
              <w:t>545</w:t>
            </w:r>
            <w:r w:rsidRPr="001A0E92">
              <w:t>萬，國內市場規模有限。</w:t>
            </w:r>
          </w:p>
          <w:p w:rsidR="00950597" w:rsidRPr="001A0E92" w:rsidRDefault="00950597" w:rsidP="00950597">
            <w:pPr>
              <w:pStyle w:val="aff"/>
              <w:ind w:left="472" w:hanging="472"/>
              <w:jc w:val="both"/>
            </w:pPr>
            <w:r w:rsidRPr="001A0E92">
              <w:t>二、技術勞力短缺。</w:t>
            </w:r>
          </w:p>
          <w:p w:rsidR="00950597" w:rsidRPr="001A0E92" w:rsidRDefault="00950597" w:rsidP="00950597">
            <w:pPr>
              <w:pStyle w:val="aff"/>
              <w:ind w:left="472" w:hanging="472"/>
              <w:jc w:val="both"/>
            </w:pPr>
            <w:r w:rsidRPr="001A0E92">
              <w:t>三、公司營所稅為</w:t>
            </w:r>
            <w:r w:rsidRPr="001A0E92">
              <w:t>21%</w:t>
            </w:r>
            <w:r w:rsidRPr="001A0E92">
              <w:t>，係</w:t>
            </w:r>
            <w:r w:rsidRPr="001A0E92">
              <w:t>V4</w:t>
            </w:r>
            <w:r w:rsidRPr="001A0E92">
              <w:t>國中最高者</w:t>
            </w:r>
            <w:r w:rsidRPr="001A0E92">
              <w:rPr>
                <w:rStyle w:val="a9"/>
              </w:rPr>
              <w:footnoteReference w:id="2"/>
            </w:r>
            <w:r w:rsidRPr="001A0E92">
              <w:t>。</w:t>
            </w:r>
          </w:p>
          <w:p w:rsidR="00950597" w:rsidRPr="001A0E92" w:rsidRDefault="00950597" w:rsidP="00950597">
            <w:pPr>
              <w:pStyle w:val="aff"/>
              <w:ind w:left="472" w:hanging="472"/>
              <w:jc w:val="both"/>
            </w:pPr>
            <w:r w:rsidRPr="001A0E92">
              <w:t>四、近年內閣變動頻仍，行政效率較緩，偶有貪污情況見報。</w:t>
            </w:r>
          </w:p>
        </w:tc>
        <w:tc>
          <w:tcPr>
            <w:tcW w:w="4548" w:type="dxa"/>
            <w:tcBorders>
              <w:top w:val="single" w:sz="6" w:space="0" w:color="00000A"/>
              <w:left w:val="single" w:sz="6" w:space="0" w:color="00000A"/>
              <w:bottom w:val="single" w:sz="12" w:space="0" w:color="00000A"/>
              <w:right w:val="single" w:sz="12" w:space="0" w:color="00000A"/>
            </w:tcBorders>
            <w:shd w:val="clear" w:color="auto" w:fill="auto"/>
            <w:tcMar>
              <w:top w:w="0" w:type="dxa"/>
              <w:left w:w="57" w:type="dxa"/>
              <w:bottom w:w="0" w:type="dxa"/>
              <w:right w:w="57" w:type="dxa"/>
            </w:tcMar>
          </w:tcPr>
          <w:p w:rsidR="00950597" w:rsidRPr="001A0E92" w:rsidRDefault="00950597" w:rsidP="00950597">
            <w:pPr>
              <w:pStyle w:val="aff"/>
              <w:ind w:left="472" w:hanging="472"/>
              <w:jc w:val="both"/>
            </w:pPr>
            <w:r w:rsidRPr="001A0E92">
              <w:t>Threat</w:t>
            </w:r>
            <w:r w:rsidRPr="001A0E92">
              <w:t>（威脅）</w:t>
            </w:r>
          </w:p>
          <w:p w:rsidR="00950597" w:rsidRPr="001A0E92" w:rsidRDefault="00950597" w:rsidP="00950597">
            <w:pPr>
              <w:pStyle w:val="aff"/>
              <w:ind w:left="472" w:hanging="472"/>
              <w:jc w:val="both"/>
            </w:pPr>
            <w:r w:rsidRPr="001A0E92">
              <w:t>一、斯國經濟依賴外人投資甚深，其中製造業仍以組裝為主，創新及研發能力不足。</w:t>
            </w:r>
          </w:p>
          <w:p w:rsidR="00950597" w:rsidRPr="001A0E92" w:rsidRDefault="00950597" w:rsidP="00950597">
            <w:pPr>
              <w:pStyle w:val="aff"/>
              <w:ind w:left="472" w:hanging="472"/>
              <w:jc w:val="both"/>
            </w:pPr>
            <w:r w:rsidRPr="001A0E92">
              <w:t>二、</w:t>
            </w:r>
            <w:r w:rsidRPr="001A0E92">
              <w:t>2023</w:t>
            </w:r>
            <w:r w:rsidRPr="001A0E92">
              <w:t>年國會改選，目前以親俄民粹政黨民調領先。倘確為當選組閣，有商界人士擔憂將採疑歐路線。</w:t>
            </w:r>
          </w:p>
          <w:p w:rsidR="00950597" w:rsidRPr="001A0E92" w:rsidRDefault="00950597" w:rsidP="00950597">
            <w:pPr>
              <w:pStyle w:val="aff"/>
              <w:ind w:left="472" w:hanging="472"/>
              <w:jc w:val="both"/>
            </w:pPr>
            <w:r w:rsidRPr="001A0E92">
              <w:t>三、當俄烏戰爭結束後，有商界人士預測目前在斯部分製造業可能移往烏國。</w:t>
            </w:r>
          </w:p>
        </w:tc>
      </w:tr>
    </w:tbl>
    <w:p w:rsidR="00950597" w:rsidRPr="001A0E92" w:rsidRDefault="00950597" w:rsidP="00720093">
      <w:pPr>
        <w:pStyle w:val="af3"/>
        <w:spacing w:before="257" w:after="257"/>
        <w:ind w:left="632" w:hanging="632"/>
        <w:rPr>
          <w:color w:val="auto"/>
        </w:rPr>
      </w:pPr>
      <w:r w:rsidRPr="001A0E92">
        <w:rPr>
          <w:color w:val="auto"/>
        </w:rPr>
        <w:t>六、投資環境風險</w:t>
      </w:r>
    </w:p>
    <w:p w:rsidR="00950597" w:rsidRPr="001A0E92" w:rsidRDefault="00950597" w:rsidP="00720093">
      <w:pPr>
        <w:pStyle w:val="a0"/>
        <w:ind w:firstLine="472"/>
      </w:pPr>
      <w:r w:rsidRPr="001A0E92">
        <w:t>在斯國投資應注意事項：斯國屬歐盟會員國，相關法規制度依循歐盟政策及規範政治，因此，赴斯國投資之政治、社會及經商等投資風險較低，惟仍住意下列事項：</w:t>
      </w:r>
    </w:p>
    <w:p w:rsidR="00950597" w:rsidRPr="001A0E92" w:rsidRDefault="00720093" w:rsidP="00720093">
      <w:pPr>
        <w:pStyle w:val="af8"/>
        <w:ind w:left="944" w:hanging="708"/>
      </w:pPr>
      <w:r w:rsidRPr="001A0E92">
        <w:rPr>
          <w:rFonts w:hint="eastAsia"/>
        </w:rPr>
        <w:t>（一）</w:t>
      </w:r>
      <w:r w:rsidR="00950597" w:rsidRPr="001A0E92">
        <w:t>行政效率：公務行政機構之行政效率待改善，另外商反映斯國政府採購或核發相關執照之規定及流程透明度低。</w:t>
      </w:r>
    </w:p>
    <w:p w:rsidR="00950597" w:rsidRPr="001A0E92" w:rsidRDefault="00950597" w:rsidP="00720093">
      <w:pPr>
        <w:pStyle w:val="af8"/>
        <w:ind w:left="944" w:hanging="708"/>
      </w:pPr>
      <w:r w:rsidRPr="001A0E92">
        <w:t>（二）</w:t>
      </w:r>
      <w:r w:rsidRPr="001A0E92">
        <w:tab/>
      </w:r>
      <w:r w:rsidRPr="001A0E92">
        <w:t>語言、文化隔閡：斯洛伐克與我國地理區隔遙遠，歷史文化背景殊異，日常生活習慣亦差異甚大，具有顯著的區域差異。臺商在此設立公司需考慮派駐人員對不同之文化背景及生活習慣之適應能力；另一方面，在首都</w:t>
      </w:r>
      <w:r w:rsidRPr="001A0E92">
        <w:t>Bratislava</w:t>
      </w:r>
      <w:r w:rsidRPr="001A0E92">
        <w:t>及第二大城</w:t>
      </w:r>
      <w:r w:rsidRPr="001A0E92">
        <w:t>Kosice</w:t>
      </w:r>
      <w:r w:rsidRPr="001A0E92">
        <w:t>商務往來多可以英語溝通，但外省市使用英文之普及率不高，英文資訊及商業訊息亦不多，但瀏覽網頁可善用</w:t>
      </w:r>
      <w:r w:rsidRPr="001A0E92">
        <w:t>google translate</w:t>
      </w:r>
      <w:r w:rsidRPr="001A0E92">
        <w:t>功能協助翻譯。此外，公務機關多不接受英文文件，往往要求翻譯成斯洛伐克文。</w:t>
      </w:r>
    </w:p>
    <w:p w:rsidR="00950597" w:rsidRPr="001A0E92" w:rsidRDefault="00950597" w:rsidP="00720093">
      <w:pPr>
        <w:pStyle w:val="af8"/>
        <w:ind w:left="944" w:hanging="708"/>
      </w:pPr>
      <w:r w:rsidRPr="001A0E92">
        <w:t>（三）</w:t>
      </w:r>
      <w:r w:rsidRPr="001A0E92">
        <w:tab/>
      </w:r>
      <w:r w:rsidRPr="001A0E92">
        <w:t>建議宜委任專業代理人：斯洛伐克本地申辦公司登記註冊等，均須用斯洛伐克文，相關文件係外文者，多要求翻譯並公證，加上本地商業登記手續繁複，稅務結報等均須委託專業人士（例如會計師等）專人處理為宜。</w:t>
      </w:r>
    </w:p>
    <w:p w:rsidR="00FF29F0" w:rsidRPr="001A0E92" w:rsidRDefault="00FF29F0" w:rsidP="00720093">
      <w:pPr>
        <w:pStyle w:val="af8"/>
        <w:ind w:left="944" w:hanging="708"/>
      </w:pPr>
    </w:p>
    <w:p w:rsidR="0032277D" w:rsidRPr="001A0E92" w:rsidRDefault="00D73808" w:rsidP="00720093">
      <w:pPr>
        <w:pStyle w:val="af8"/>
        <w:ind w:left="944" w:hanging="708"/>
      </w:pPr>
      <w:r w:rsidRPr="001A0E92">
        <w:t>（四）</w:t>
      </w:r>
      <w:r w:rsidRPr="001A0E92">
        <w:tab/>
      </w:r>
      <w:r w:rsidR="00950597" w:rsidRPr="001A0E92">
        <w:t>技術勞工短缺：根據</w:t>
      </w:r>
      <w:r w:rsidR="00950597" w:rsidRPr="001A0E92">
        <w:t>2021</w:t>
      </w:r>
      <w:r w:rsidR="00950597" w:rsidRPr="001A0E92">
        <w:t>年</w:t>
      </w:r>
      <w:r w:rsidR="00950597" w:rsidRPr="001A0E92">
        <w:t>12</w:t>
      </w:r>
      <w:r w:rsidR="00950597" w:rsidRPr="001A0E92">
        <w:t>月斯洛伐克商業銀行（</w:t>
      </w:r>
      <w:r w:rsidR="00950597" w:rsidRPr="001A0E92">
        <w:t>CSOB</w:t>
      </w:r>
      <w:r w:rsidR="00950597" w:rsidRPr="001A0E92">
        <w:t>）與</w:t>
      </w:r>
      <w:r w:rsidR="00950597" w:rsidRPr="001A0E92">
        <w:t xml:space="preserve">Datank </w:t>
      </w:r>
      <w:r w:rsidR="00950597" w:rsidRPr="001A0E92">
        <w:t>研究機構公布調查顯示，越來越多的本地企業家反映找不到適合的員工，受調的</w:t>
      </w:r>
      <w:r w:rsidR="00950597" w:rsidRPr="001A0E92">
        <w:t>400</w:t>
      </w:r>
      <w:r w:rsidR="00950597" w:rsidRPr="001A0E92">
        <w:t>家企業中有一半的企業表示尋找員工存在問題。在斯外商面臨缺工及關鍵產業技術人才缺乏的問題，亦有部分臺商反映缺工及土地取得不易。</w:t>
      </w:r>
    </w:p>
    <w:p w:rsidR="0032277D" w:rsidRPr="001A0E92" w:rsidRDefault="0032277D" w:rsidP="006F3E9A">
      <w:pPr>
        <w:pStyle w:val="a0"/>
        <w:ind w:left="472" w:firstLine="472"/>
      </w:pPr>
    </w:p>
    <w:p w:rsidR="00FF29F0" w:rsidRPr="001A0E92" w:rsidRDefault="00FF29F0">
      <w:pPr>
        <w:widowControl/>
        <w:pBdr>
          <w:top w:val="none" w:sz="0" w:space="0" w:color="auto"/>
          <w:left w:val="none" w:sz="0" w:space="0" w:color="auto"/>
          <w:bottom w:val="none" w:sz="0" w:space="0" w:color="auto"/>
          <w:right w:val="none" w:sz="0" w:space="0" w:color="auto"/>
        </w:pBdr>
        <w:overflowPunct/>
        <w:autoSpaceDE/>
        <w:autoSpaceDN/>
        <w:jc w:val="left"/>
        <w:rPr>
          <w:kern w:val="1"/>
          <w:lang w:val="x-none"/>
        </w:rPr>
      </w:pPr>
      <w:r w:rsidRPr="001A0E92">
        <w:br w:type="page"/>
      </w:r>
    </w:p>
    <w:p w:rsidR="00FF29F0" w:rsidRPr="001A0E92" w:rsidRDefault="00FF29F0" w:rsidP="006F3E9A">
      <w:pPr>
        <w:pStyle w:val="a0"/>
        <w:ind w:left="472" w:firstLine="472"/>
      </w:pPr>
    </w:p>
    <w:p w:rsidR="0032277D" w:rsidRPr="001A0E92" w:rsidRDefault="0032277D">
      <w:pPr>
        <w:sectPr w:rsidR="0032277D" w:rsidRPr="001A0E92" w:rsidSect="00D8781B">
          <w:headerReference w:type="even" r:id="rId24"/>
          <w:headerReference w:type="default" r:id="rId25"/>
          <w:footerReference w:type="even" r:id="rId26"/>
          <w:footerReference w:type="default" r:id="rId27"/>
          <w:headerReference w:type="first" r:id="rId28"/>
          <w:footerReference w:type="first" r:id="rId29"/>
          <w:pgSz w:w="11906" w:h="16838"/>
          <w:pgMar w:top="2268" w:right="1701" w:bottom="1701" w:left="1701" w:header="1134" w:footer="851" w:gutter="0"/>
          <w:cols w:space="720"/>
          <w:docGrid w:type="linesAndChars" w:linePitch="514" w:charSpace="-819"/>
        </w:sectPr>
      </w:pPr>
    </w:p>
    <w:p w:rsidR="0032277D" w:rsidRPr="001A0E92" w:rsidRDefault="0032277D" w:rsidP="00933D73">
      <w:pPr>
        <w:pStyle w:val="af2"/>
        <w:spacing w:before="514" w:after="771"/>
      </w:pPr>
      <w:bookmarkStart w:id="6" w:name="_Toc19484723"/>
      <w:bookmarkStart w:id="7" w:name="_Toc145895372"/>
      <w:r w:rsidRPr="001A0E92">
        <w:t>第參章　外商在當地經營現況及投資機會</w:t>
      </w:r>
      <w:bookmarkEnd w:id="6"/>
      <w:bookmarkEnd w:id="7"/>
    </w:p>
    <w:p w:rsidR="0032277D" w:rsidRPr="001A0E92" w:rsidRDefault="0032277D" w:rsidP="00C54F2A">
      <w:pPr>
        <w:pStyle w:val="af3"/>
        <w:spacing w:before="257" w:after="257"/>
        <w:ind w:left="632" w:hanging="632"/>
        <w:rPr>
          <w:color w:val="auto"/>
        </w:rPr>
      </w:pPr>
      <w:r w:rsidRPr="001A0E92">
        <w:rPr>
          <w:color w:val="auto"/>
        </w:rPr>
        <w:t>一、外商在當地經營現況</w:t>
      </w:r>
    </w:p>
    <w:p w:rsidR="00950597" w:rsidRPr="001A0E92" w:rsidRDefault="00950597" w:rsidP="00720093">
      <w:pPr>
        <w:pStyle w:val="a0"/>
        <w:ind w:firstLine="472"/>
      </w:pPr>
      <w:r w:rsidRPr="001A0E92">
        <w:t>斯國人口</w:t>
      </w:r>
      <w:r w:rsidRPr="001A0E92">
        <w:t>545.9</w:t>
      </w:r>
      <w:r w:rsidRPr="001A0E92">
        <w:t>萬，</w:t>
      </w:r>
      <w:r w:rsidRPr="001A0E92">
        <w:t>2022</w:t>
      </w:r>
      <w:r w:rsidRPr="001A0E92">
        <w:t>年人均所得</w:t>
      </w:r>
      <w:r w:rsidRPr="001A0E92">
        <w:t>19,839</w:t>
      </w:r>
      <w:r w:rsidRPr="001A0E92">
        <w:t>歐元，位於歐洲中心地帶，地理位置優越，吸引外商在此投資，進行製造及發貨銷往歐盟市場，其國內市場規模相較鄰近國家小，進口量不多。</w:t>
      </w:r>
    </w:p>
    <w:p w:rsidR="00950597" w:rsidRPr="001A0E92" w:rsidRDefault="00950597" w:rsidP="00720093">
      <w:pPr>
        <w:pStyle w:val="a0"/>
        <w:ind w:firstLine="472"/>
      </w:pPr>
      <w:r w:rsidRPr="001A0E92">
        <w:t>依據斯國投資暨貿易發展局（</w:t>
      </w:r>
      <w:r w:rsidRPr="001A0E92">
        <w:t>SARIO</w:t>
      </w:r>
      <w:r w:rsidRPr="001A0E92">
        <w:t>）最新統計，</w:t>
      </w:r>
      <w:r w:rsidRPr="001A0E92">
        <w:t>2022</w:t>
      </w:r>
      <w:r w:rsidRPr="001A0E92">
        <w:t>年該局計協助促成</w:t>
      </w:r>
      <w:r w:rsidRPr="001A0E92">
        <w:t>31</w:t>
      </w:r>
      <w:r w:rsidRPr="001A0E92">
        <w:t>件投資案（包括增資），累計投資金額約</w:t>
      </w:r>
      <w:r w:rsidRPr="001A0E92">
        <w:t>19</w:t>
      </w:r>
      <w:r w:rsidRPr="001A0E92">
        <w:t>億歐元，增加</w:t>
      </w:r>
      <w:r w:rsidRPr="001A0E92">
        <w:t>7,540</w:t>
      </w:r>
      <w:r w:rsidRPr="001A0E92">
        <w:t>個就業機會。相關投資案包括瑞典</w:t>
      </w:r>
      <w:r w:rsidRPr="001A0E92">
        <w:t>Volvo</w:t>
      </w:r>
      <w:r w:rsidRPr="001A0E92">
        <w:t>汽車</w:t>
      </w:r>
      <w:r w:rsidR="004F0E9D" w:rsidRPr="001A0E92">
        <w:rPr>
          <w:rFonts w:hint="eastAsia"/>
        </w:rPr>
        <w:t>（</w:t>
      </w:r>
      <w:r w:rsidRPr="001A0E92">
        <w:t>東南部</w:t>
      </w:r>
      <w:r w:rsidRPr="001A0E92">
        <w:t>Kosice</w:t>
      </w:r>
      <w:r w:rsidRPr="001A0E92">
        <w:t>省、電動車</w:t>
      </w:r>
      <w:r w:rsidR="004F0E9D" w:rsidRPr="001A0E92">
        <w:rPr>
          <w:rFonts w:hint="eastAsia"/>
        </w:rPr>
        <w:t>）</w:t>
      </w:r>
      <w:r w:rsidRPr="001A0E92">
        <w:t>、</w:t>
      </w:r>
      <w:r w:rsidRPr="001A0E92">
        <w:t>Bosch</w:t>
      </w:r>
      <w:r w:rsidR="004F0E9D" w:rsidRPr="001A0E92">
        <w:rPr>
          <w:rFonts w:hint="eastAsia"/>
        </w:rPr>
        <w:t>（</w:t>
      </w:r>
      <w:r w:rsidRPr="001A0E92">
        <w:t>東北</w:t>
      </w:r>
      <w:r w:rsidRPr="001A0E92">
        <w:t>Presov</w:t>
      </w:r>
      <w:r w:rsidRPr="001A0E92">
        <w:t>省、電動自行車用的馬達</w:t>
      </w:r>
      <w:r w:rsidR="004F0E9D" w:rsidRPr="001A0E92">
        <w:rPr>
          <w:rFonts w:hint="eastAsia"/>
        </w:rPr>
        <w:t>）</w:t>
      </w:r>
      <w:r w:rsidRPr="001A0E92">
        <w:t>、</w:t>
      </w:r>
      <w:r w:rsidRPr="001A0E92">
        <w:t>Porche</w:t>
      </w:r>
      <w:r w:rsidR="004F0E9D" w:rsidRPr="001A0E92">
        <w:rPr>
          <w:rFonts w:hint="eastAsia"/>
        </w:rPr>
        <w:t>（</w:t>
      </w:r>
      <w:r w:rsidRPr="001A0E92">
        <w:t>西部</w:t>
      </w:r>
      <w:r w:rsidRPr="001A0E92">
        <w:t>Horná Streda</w:t>
      </w:r>
      <w:r w:rsidRPr="001A0E92">
        <w:t>區、鋰離子電池模組</w:t>
      </w:r>
      <w:r w:rsidR="004F0E9D" w:rsidRPr="001A0E92">
        <w:rPr>
          <w:rFonts w:hint="eastAsia"/>
        </w:rPr>
        <w:t>）</w:t>
      </w:r>
      <w:r w:rsidRPr="001A0E92">
        <w:t>、</w:t>
      </w:r>
      <w:r w:rsidRPr="001A0E92">
        <w:t>Mubea</w:t>
      </w:r>
      <w:r w:rsidR="004F0E9D" w:rsidRPr="001A0E92">
        <w:rPr>
          <w:rFonts w:hint="eastAsia"/>
        </w:rPr>
        <w:t>（</w:t>
      </w:r>
      <w:r w:rsidRPr="001A0E92">
        <w:t>Kosice</w:t>
      </w:r>
      <w:r w:rsidRPr="001A0E92">
        <w:t>省、汽車用輕鋼及鋁</w:t>
      </w:r>
      <w:r w:rsidR="004F0E9D" w:rsidRPr="001A0E92">
        <w:rPr>
          <w:rFonts w:hint="eastAsia"/>
        </w:rPr>
        <w:t>）</w:t>
      </w:r>
      <w:r w:rsidRPr="001A0E92">
        <w:t>、</w:t>
      </w:r>
      <w:r w:rsidRPr="001A0E92">
        <w:t>Evonik</w:t>
      </w:r>
      <w:r w:rsidR="004F0E9D" w:rsidRPr="001A0E92">
        <w:rPr>
          <w:rFonts w:hint="eastAsia"/>
        </w:rPr>
        <w:t>（</w:t>
      </w:r>
      <w:r w:rsidRPr="001A0E92">
        <w:t>Presov</w:t>
      </w:r>
      <w:r w:rsidRPr="001A0E92">
        <w:t>省、動物飼料添加劑</w:t>
      </w:r>
      <w:r w:rsidR="004F0E9D" w:rsidRPr="001A0E92">
        <w:rPr>
          <w:rFonts w:hint="eastAsia"/>
        </w:rPr>
        <w:t>）</w:t>
      </w:r>
      <w:r w:rsidRPr="001A0E92">
        <w:t>、</w:t>
      </w:r>
      <w:r w:rsidRPr="001A0E92">
        <w:t>Tatravagonka Tlmace</w:t>
      </w:r>
      <w:r w:rsidR="004F0E9D" w:rsidRPr="001A0E92">
        <w:rPr>
          <w:rFonts w:hint="eastAsia"/>
        </w:rPr>
        <w:t>（</w:t>
      </w:r>
      <w:r w:rsidRPr="001A0E92">
        <w:t>Nitra</w:t>
      </w:r>
      <w:r w:rsidRPr="001A0E92">
        <w:t>省、鋼鐵</w:t>
      </w:r>
      <w:r w:rsidR="004F0E9D" w:rsidRPr="001A0E92">
        <w:rPr>
          <w:rFonts w:hint="eastAsia"/>
        </w:rPr>
        <w:t>）</w:t>
      </w:r>
      <w:r w:rsidRPr="001A0E92">
        <w:t>、</w:t>
      </w:r>
      <w:r w:rsidRPr="001A0E92">
        <w:t>Terichem Tervakoski</w:t>
      </w:r>
      <w:r w:rsidR="004F0E9D" w:rsidRPr="001A0E92">
        <w:rPr>
          <w:rFonts w:hint="eastAsia"/>
        </w:rPr>
        <w:t>（</w:t>
      </w:r>
      <w:r w:rsidRPr="001A0E92">
        <w:t>Presov</w:t>
      </w:r>
      <w:r w:rsidRPr="001A0E92">
        <w:t>省、電力傳輸系統</w:t>
      </w:r>
      <w:r w:rsidR="004F0E9D" w:rsidRPr="001A0E92">
        <w:rPr>
          <w:rFonts w:hint="eastAsia"/>
        </w:rPr>
        <w:t>）</w:t>
      </w:r>
      <w:r w:rsidRPr="001A0E92">
        <w:t>、</w:t>
      </w:r>
      <w:r w:rsidRPr="001A0E92">
        <w:t>Andritz Group</w:t>
      </w:r>
      <w:r w:rsidR="004F0E9D" w:rsidRPr="001A0E92">
        <w:rPr>
          <w:rFonts w:hint="eastAsia"/>
        </w:rPr>
        <w:t>（</w:t>
      </w:r>
      <w:r w:rsidRPr="001A0E92">
        <w:t>Kosice</w:t>
      </w:r>
      <w:r w:rsidRPr="001A0E92">
        <w:t>省及</w:t>
      </w:r>
      <w:r w:rsidRPr="001A0E92">
        <w:t>Presov</w:t>
      </w:r>
      <w:r w:rsidRPr="001A0E92">
        <w:t>省、汙泥過濾及工廠技術</w:t>
      </w:r>
      <w:r w:rsidR="004F0E9D" w:rsidRPr="001A0E92">
        <w:rPr>
          <w:rFonts w:hint="eastAsia"/>
        </w:rPr>
        <w:t>）</w:t>
      </w:r>
      <w:r w:rsidRPr="001A0E92">
        <w:t>、</w:t>
      </w:r>
      <w:r w:rsidRPr="001A0E92">
        <w:t>Samsung</w:t>
      </w:r>
      <w:r w:rsidR="004F0E9D" w:rsidRPr="001A0E92">
        <w:rPr>
          <w:rFonts w:hint="eastAsia"/>
        </w:rPr>
        <w:t>（</w:t>
      </w:r>
      <w:r w:rsidRPr="001A0E92">
        <w:t>Trnava</w:t>
      </w:r>
      <w:r w:rsidRPr="001A0E92">
        <w:t>省、電視螢幕及顯示器擴廠</w:t>
      </w:r>
      <w:r w:rsidR="004F0E9D" w:rsidRPr="001A0E92">
        <w:rPr>
          <w:rFonts w:hint="eastAsia"/>
        </w:rPr>
        <w:t>）</w:t>
      </w:r>
      <w:r w:rsidRPr="001A0E92">
        <w:t>及</w:t>
      </w:r>
      <w:r w:rsidRPr="001A0E92">
        <w:t>Smart Wood</w:t>
      </w:r>
      <w:r w:rsidR="004F0E9D" w:rsidRPr="001A0E92">
        <w:rPr>
          <w:rFonts w:hint="eastAsia"/>
        </w:rPr>
        <w:t>（</w:t>
      </w:r>
      <w:r w:rsidRPr="001A0E92">
        <w:t>Kosice</w:t>
      </w:r>
      <w:r w:rsidRPr="001A0E92">
        <w:t>省、木製品</w:t>
      </w:r>
      <w:r w:rsidR="004F0E9D" w:rsidRPr="001A0E92">
        <w:rPr>
          <w:rFonts w:hint="eastAsia"/>
        </w:rPr>
        <w:t>）</w:t>
      </w:r>
      <w:r w:rsidRPr="001A0E92">
        <w:t>等。</w:t>
      </w:r>
    </w:p>
    <w:p w:rsidR="00950597" w:rsidRPr="001A0E92" w:rsidRDefault="00950597" w:rsidP="00720093">
      <w:pPr>
        <w:pStyle w:val="a0"/>
        <w:ind w:firstLine="472"/>
      </w:pPr>
      <w:r w:rsidRPr="001A0E92">
        <w:t>上述</w:t>
      </w:r>
      <w:r w:rsidRPr="001A0E92">
        <w:t>10</w:t>
      </w:r>
      <w:r w:rsidRPr="001A0E92">
        <w:t>項投資案中有</w:t>
      </w:r>
      <w:r w:rsidRPr="001A0E92">
        <w:t>7</w:t>
      </w:r>
      <w:r w:rsidRPr="001A0E92">
        <w:t>項落腳於</w:t>
      </w:r>
      <w:r w:rsidRPr="001A0E92">
        <w:t>Kosice</w:t>
      </w:r>
      <w:r w:rsidRPr="001A0E92">
        <w:t>及</w:t>
      </w:r>
      <w:r w:rsidRPr="001A0E92">
        <w:t>Presov</w:t>
      </w:r>
      <w:r w:rsidRPr="001A0E92">
        <w:t>等東部省分，顯示該國為縮短東西部發展差距而提供東部較佳的投資優惠獎勵有顯著成果。另斯國東部現有重要外商投資包括：美國鋼鐵</w:t>
      </w:r>
      <w:r w:rsidR="004F0E9D" w:rsidRPr="001A0E92">
        <w:rPr>
          <w:rFonts w:hint="eastAsia"/>
        </w:rPr>
        <w:t>（</w:t>
      </w:r>
      <w:r w:rsidRPr="001A0E92">
        <w:t>US Steel</w:t>
      </w:r>
      <w:r w:rsidR="004F0E9D" w:rsidRPr="001A0E92">
        <w:rPr>
          <w:rFonts w:hint="eastAsia"/>
        </w:rPr>
        <w:t>）</w:t>
      </w:r>
      <w:r w:rsidRPr="001A0E92">
        <w:t>、巴西冰箱壓縮機製造商</w:t>
      </w:r>
      <w:r w:rsidRPr="001A0E92">
        <w:t>Embraco</w:t>
      </w:r>
      <w:r w:rsidRPr="001A0E92">
        <w:t>、電子業者德商</w:t>
      </w:r>
      <w:r w:rsidRPr="001A0E92">
        <w:t>Siemens</w:t>
      </w:r>
      <w:r w:rsidRPr="001A0E92">
        <w:t>、日商</w:t>
      </w:r>
      <w:r w:rsidRPr="001A0E92">
        <w:t>Panasonic</w:t>
      </w:r>
      <w:r w:rsidRPr="001A0E92">
        <w:t>及美國</w:t>
      </w:r>
      <w:r w:rsidRPr="001A0E92">
        <w:t>Molex</w:t>
      </w:r>
      <w:r w:rsidRPr="001A0E92">
        <w:t>、德國汽車傳動系統公司</w:t>
      </w:r>
      <w:r w:rsidRPr="001A0E92">
        <w:t>Getrag Ford Transmissions</w:t>
      </w:r>
      <w:r w:rsidRPr="001A0E92">
        <w:t>、美國汽車座椅公司</w:t>
      </w:r>
      <w:r w:rsidRPr="001A0E92">
        <w:t>Lear Coporation</w:t>
      </w:r>
      <w:r w:rsidRPr="001A0E92">
        <w:t>及法國汽車零件公司</w:t>
      </w:r>
      <w:r w:rsidRPr="001A0E92">
        <w:t>Valeo</w:t>
      </w:r>
      <w:r w:rsidRPr="001A0E92">
        <w:t>、美國電器公司</w:t>
      </w:r>
      <w:r w:rsidRPr="001A0E92">
        <w:t>Whirlpool</w:t>
      </w:r>
      <w:r w:rsidRPr="001A0E92">
        <w:t>及荷蘭醫療設備公司</w:t>
      </w:r>
      <w:r w:rsidRPr="001A0E92">
        <w:t>Unomedical</w:t>
      </w:r>
      <w:r w:rsidRPr="001A0E92">
        <w:t>。</w:t>
      </w:r>
    </w:p>
    <w:p w:rsidR="00950597" w:rsidRPr="001A0E92" w:rsidRDefault="00950597" w:rsidP="00720093">
      <w:pPr>
        <w:pStyle w:val="a0"/>
        <w:ind w:firstLine="472"/>
      </w:pPr>
      <w:r w:rsidRPr="001A0E92">
        <w:t>斯國政府大力為東部省份招商，有政治及經濟之考量，但基本事實是東部為斯國失業率最高的地區。斯國勞動部統計資料顯示，</w:t>
      </w:r>
      <w:r w:rsidRPr="001A0E92">
        <w:t>2022</w:t>
      </w:r>
      <w:r w:rsidRPr="001A0E92">
        <w:t>年</w:t>
      </w:r>
      <w:r w:rsidRPr="001A0E92">
        <w:t>9</w:t>
      </w:r>
      <w:r w:rsidRPr="001A0E92">
        <w:t>月</w:t>
      </w:r>
      <w:r w:rsidRPr="001A0E92">
        <w:t>Kosice</w:t>
      </w:r>
      <w:r w:rsidRPr="001A0E92">
        <w:t>省及</w:t>
      </w:r>
      <w:r w:rsidRPr="001A0E92">
        <w:t>Presov</w:t>
      </w:r>
      <w:r w:rsidRPr="001A0E92">
        <w:t>省的失業率分別高達</w:t>
      </w:r>
      <w:r w:rsidRPr="001A0E92">
        <w:t>9.85%</w:t>
      </w:r>
      <w:r w:rsidRPr="001A0E92">
        <w:t>及</w:t>
      </w:r>
      <w:r w:rsidRPr="001A0E92">
        <w:t>10.97%</w:t>
      </w:r>
      <w:r w:rsidRPr="001A0E92">
        <w:t>，遠高於西部的</w:t>
      </w:r>
      <w:r w:rsidRPr="001A0E92">
        <w:t>Bratislava</w:t>
      </w:r>
      <w:r w:rsidRPr="001A0E92">
        <w:t>省</w:t>
      </w:r>
      <w:r w:rsidRPr="001A0E92">
        <w:t>3.72%</w:t>
      </w:r>
      <w:r w:rsidRPr="001A0E92">
        <w:t>及全國平均失業率</w:t>
      </w:r>
      <w:r w:rsidRPr="001A0E92">
        <w:t>6.72%</w:t>
      </w:r>
      <w:r w:rsidRPr="001A0E92">
        <w:t>。受高失業率影響，投資者在招募勞工時，東部也會較西部容易找到勞動力。</w:t>
      </w:r>
    </w:p>
    <w:p w:rsidR="00950597" w:rsidRPr="001A0E92" w:rsidRDefault="00950597" w:rsidP="00720093">
      <w:pPr>
        <w:pStyle w:val="af8"/>
        <w:ind w:left="944" w:hanging="708"/>
      </w:pPr>
      <w:r w:rsidRPr="001A0E92">
        <w:t>（一）歐盟會員部分</w:t>
      </w:r>
    </w:p>
    <w:p w:rsidR="00950597" w:rsidRPr="001A0E92" w:rsidRDefault="00950597" w:rsidP="00720093">
      <w:pPr>
        <w:pStyle w:val="af9"/>
        <w:ind w:left="944" w:firstLine="472"/>
      </w:pPr>
      <w:r w:rsidRPr="001A0E92">
        <w:t>歐盟成員國包括德國、奧地利、荷蘭、捷克、盧森堡等，是斯國最大的外國投資者。以德國電子大廠西門子（</w:t>
      </w:r>
      <w:r w:rsidRPr="001A0E92">
        <w:t>Siemens</w:t>
      </w:r>
      <w:r w:rsidRPr="001A0E92">
        <w:t>）為例，在斯僱用</w:t>
      </w:r>
      <w:r w:rsidRPr="001A0E92">
        <w:t>3,471</w:t>
      </w:r>
      <w:r w:rsidRPr="001A0E92">
        <w:t>名員工，年營業額約</w:t>
      </w:r>
      <w:r w:rsidRPr="001A0E92">
        <w:t>6</w:t>
      </w:r>
      <w:r w:rsidRPr="001A0E92">
        <w:t>億歐元，其軟體事業群分別在</w:t>
      </w:r>
      <w:r w:rsidRPr="001A0E92">
        <w:t>Žilina</w:t>
      </w:r>
      <w:r w:rsidRPr="001A0E92">
        <w:t>、</w:t>
      </w:r>
      <w:r w:rsidRPr="001A0E92">
        <w:t>Piestany</w:t>
      </w:r>
      <w:r w:rsidRPr="001A0E92">
        <w:t>及</w:t>
      </w:r>
      <w:r w:rsidRPr="001A0E92">
        <w:t>Košice</w:t>
      </w:r>
      <w:r w:rsidRPr="001A0E92">
        <w:t>之主要工業城設有營運據點，就近服務客戶。因應歐盟減碳政策及衍生的相關商機，西門子在斯國主要提供建築技術之能源解決方案、自動化製造、智能電網及電動車充電站等。</w:t>
      </w:r>
    </w:p>
    <w:p w:rsidR="00950597" w:rsidRPr="001A0E92" w:rsidRDefault="00950597" w:rsidP="00720093">
      <w:pPr>
        <w:pStyle w:val="af9"/>
        <w:ind w:left="944" w:firstLine="472"/>
      </w:pPr>
      <w:r w:rsidRPr="001A0E92">
        <w:t>另德商</w:t>
      </w:r>
      <w:r w:rsidRPr="001A0E92">
        <w:t>Semikron</w:t>
      </w:r>
      <w:r w:rsidRPr="001A0E92">
        <w:t>在斯</w:t>
      </w:r>
      <w:r w:rsidRPr="001A0E92">
        <w:t>Vrbove</w:t>
      </w:r>
      <w:r w:rsidRPr="001A0E92">
        <w:t>設廠生產電機驅動器（</w:t>
      </w:r>
      <w:r w:rsidRPr="001A0E92">
        <w:t>motor driver</w:t>
      </w:r>
      <w:r w:rsidRPr="001A0E92">
        <w:t>）、自動化及電源模組系統等（</w:t>
      </w:r>
      <w:r w:rsidRPr="001A0E92">
        <w:t>power modules and systems</w:t>
      </w:r>
      <w:r w:rsidRPr="001A0E92">
        <w:t>），為其全球</w:t>
      </w:r>
      <w:r w:rsidRPr="001A0E92">
        <w:t>8</w:t>
      </w:r>
      <w:r w:rsidRPr="001A0E92">
        <w:t>個生產據點之一。在斯設立據點係基於就近提供重要客戶相關服務之策略，包括福斯、</w:t>
      </w:r>
      <w:r w:rsidRPr="001A0E92">
        <w:t>KIA</w:t>
      </w:r>
      <w:r w:rsidRPr="001A0E92">
        <w:t>、</w:t>
      </w:r>
      <w:r w:rsidRPr="001A0E92">
        <w:t>Land Rover</w:t>
      </w:r>
      <w:r w:rsidRPr="001A0E92">
        <w:t>、</w:t>
      </w:r>
      <w:r w:rsidRPr="001A0E92">
        <w:t>Panasonics</w:t>
      </w:r>
      <w:r w:rsidRPr="001A0E92">
        <w:t>等。</w:t>
      </w:r>
    </w:p>
    <w:p w:rsidR="00950597" w:rsidRPr="001A0E92" w:rsidRDefault="00950597" w:rsidP="00720093">
      <w:pPr>
        <w:pStyle w:val="af9"/>
        <w:ind w:left="944" w:firstLine="472"/>
      </w:pPr>
      <w:r w:rsidRPr="001A0E92">
        <w:t>瑞典</w:t>
      </w:r>
      <w:r w:rsidRPr="001A0E92">
        <w:t>Volvo</w:t>
      </w:r>
      <w:r w:rsidRPr="001A0E92">
        <w:t>汽車集團於</w:t>
      </w:r>
      <w:r w:rsidRPr="001A0E92">
        <w:t>2022</w:t>
      </w:r>
      <w:r w:rsidRPr="001A0E92">
        <w:t>年宣布投資</w:t>
      </w:r>
      <w:r w:rsidRPr="001A0E92">
        <w:t>12</w:t>
      </w:r>
      <w:r w:rsidRPr="001A0E92">
        <w:t>億歐元在斯國東部</w:t>
      </w:r>
      <w:r w:rsidRPr="001A0E92">
        <w:t>Kosice</w:t>
      </w:r>
      <w:r w:rsidRPr="001A0E92">
        <w:t>省</w:t>
      </w:r>
      <w:r w:rsidRPr="001A0E92">
        <w:t>Valaliky</w:t>
      </w:r>
      <w:r w:rsidRPr="001A0E92">
        <w:t>工業園區興建電動車組裝廠，預計於</w:t>
      </w:r>
      <w:r w:rsidRPr="001A0E92">
        <w:t>2026</w:t>
      </w:r>
      <w:r w:rsidRPr="001A0E92">
        <w:t>年量產，年生產</w:t>
      </w:r>
      <w:r w:rsidRPr="001A0E92">
        <w:t>25</w:t>
      </w:r>
      <w:r w:rsidRPr="001A0E92">
        <w:t>萬輛汽車，為當地直接創造</w:t>
      </w:r>
      <w:r w:rsidRPr="001A0E92">
        <w:t>3,300</w:t>
      </w:r>
      <w:r w:rsidRPr="001A0E92">
        <w:t>個工作機會。</w:t>
      </w:r>
    </w:p>
    <w:p w:rsidR="00950597" w:rsidRPr="001A0E92" w:rsidRDefault="00950597" w:rsidP="00720093">
      <w:pPr>
        <w:pStyle w:val="af9"/>
        <w:ind w:left="944" w:firstLine="472"/>
      </w:pPr>
      <w:r w:rsidRPr="001A0E92">
        <w:t>退出歐盟之英國：英商</w:t>
      </w:r>
      <w:r w:rsidRPr="001A0E92">
        <w:t>Knauf Insulation</w:t>
      </w:r>
      <w:r w:rsidRPr="001A0E92">
        <w:t>在斯投資生產隔熱建材，以行銷斯國市場。</w:t>
      </w:r>
    </w:p>
    <w:p w:rsidR="00950597" w:rsidRPr="001A0E92" w:rsidRDefault="00950597" w:rsidP="00720093">
      <w:pPr>
        <w:pStyle w:val="af8"/>
        <w:ind w:left="944" w:hanging="708"/>
      </w:pPr>
      <w:r w:rsidRPr="001A0E92">
        <w:t>（二）非歐盟會員部分</w:t>
      </w:r>
    </w:p>
    <w:p w:rsidR="00950597" w:rsidRPr="001A0E92" w:rsidRDefault="00720093" w:rsidP="00720093">
      <w:pPr>
        <w:pStyle w:val="afb"/>
        <w:ind w:left="1416" w:hanging="472"/>
      </w:pPr>
      <w:r w:rsidRPr="001A0E92">
        <w:t>１</w:t>
      </w:r>
      <w:r w:rsidRPr="001A0E92">
        <w:rPr>
          <w:rFonts w:hint="eastAsia"/>
        </w:rPr>
        <w:t>、</w:t>
      </w:r>
      <w:r w:rsidR="00950597" w:rsidRPr="001A0E92">
        <w:t>美商</w:t>
      </w:r>
    </w:p>
    <w:p w:rsidR="00950597" w:rsidRPr="001A0E92" w:rsidRDefault="00950597" w:rsidP="00720093">
      <w:pPr>
        <w:pStyle w:val="afe"/>
        <w:ind w:left="1416" w:firstLine="472"/>
      </w:pPr>
      <w:r w:rsidRPr="001A0E92">
        <w:t>在斯國的重要美商包括</w:t>
      </w:r>
      <w:r w:rsidRPr="001A0E92">
        <w:t>Amazon, AT&amp;T, Cisco, Dell, Garrett, GlobalLogic, Hewlett-Packard, IBM, Lear, Oracle, U.S. Steel</w:t>
      </w:r>
      <w:r w:rsidRPr="001A0E92">
        <w:t>及</w:t>
      </w:r>
      <w:r w:rsidRPr="001A0E92">
        <w:t>Whirlpool</w:t>
      </w:r>
      <w:r w:rsidRPr="001A0E92">
        <w:t>等，其中資訊科技大廠惠普（</w:t>
      </w:r>
      <w:r w:rsidRPr="001A0E92">
        <w:t>HP</w:t>
      </w:r>
      <w:r w:rsidRPr="001A0E92">
        <w:t>）、戴爾（</w:t>
      </w:r>
      <w:r w:rsidRPr="001A0E92">
        <w:t>Dell</w:t>
      </w:r>
      <w:r w:rsidRPr="001A0E92">
        <w:t>）及</w:t>
      </w:r>
      <w:r w:rsidRPr="001A0E92">
        <w:t>IBM</w:t>
      </w:r>
      <w:r w:rsidRPr="001A0E92">
        <w:t>皆在斯國首府</w:t>
      </w:r>
      <w:r w:rsidRPr="001A0E92">
        <w:t>Bratislava</w:t>
      </w:r>
      <w:r w:rsidRPr="001A0E92">
        <w:t>設有區域營運中心，約聘僱</w:t>
      </w:r>
      <w:r w:rsidRPr="001A0E92">
        <w:t>4,000</w:t>
      </w:r>
      <w:r w:rsidRPr="001A0E92">
        <w:t>人，善用斯國共享服務中心之產業強項，提供會計、行銷、人力資源等服務以降低集團管銷成本。</w:t>
      </w:r>
    </w:p>
    <w:p w:rsidR="00950597" w:rsidRPr="001A0E92" w:rsidRDefault="00950597" w:rsidP="00720093">
      <w:pPr>
        <w:pStyle w:val="afe"/>
        <w:ind w:left="1416" w:firstLine="472"/>
      </w:pPr>
      <w:r w:rsidRPr="001A0E92">
        <w:t>總部位於匹茲堡的</w:t>
      </w:r>
      <w:r w:rsidRPr="001A0E92">
        <w:t>US Steel</w:t>
      </w:r>
      <w:r w:rsidRPr="001A0E92">
        <w:t>公司於</w:t>
      </w:r>
      <w:r w:rsidRPr="001A0E92">
        <w:t>2000</w:t>
      </w:r>
      <w:r w:rsidRPr="001A0E92">
        <w:t>年取得原斯國國營公司</w:t>
      </w:r>
      <w:r w:rsidRPr="001A0E92">
        <w:t>VSZ</w:t>
      </w:r>
      <w:r w:rsidRPr="001A0E92">
        <w:t>之完全股權，為中東歐大型、整合型鋼鐵製造公司。目前有三座傳統高爐、年產各類鋼材</w:t>
      </w:r>
      <w:r w:rsidRPr="001A0E92">
        <w:t>450</w:t>
      </w:r>
      <w:r w:rsidRPr="001A0E92">
        <w:t>萬公噸</w:t>
      </w:r>
      <w:r w:rsidR="004F0E9D" w:rsidRPr="001A0E92">
        <w:rPr>
          <w:rFonts w:hint="eastAsia"/>
        </w:rPr>
        <w:t>（</w:t>
      </w:r>
      <w:r w:rsidRPr="001A0E92">
        <w:t>其中約</w:t>
      </w:r>
      <w:r w:rsidRPr="001A0E92">
        <w:t>10%</w:t>
      </w:r>
      <w:r w:rsidRPr="001A0E92">
        <w:t>供應斯國及周邊汽車產業零配件業者，僅韓系</w:t>
      </w:r>
      <w:r w:rsidRPr="001A0E92">
        <w:t>Kia</w:t>
      </w:r>
      <w:r w:rsidRPr="001A0E92">
        <w:t>非其客戶</w:t>
      </w:r>
      <w:r w:rsidR="004F0E9D" w:rsidRPr="001A0E92">
        <w:rPr>
          <w:rFonts w:hint="eastAsia"/>
        </w:rPr>
        <w:t>）</w:t>
      </w:r>
      <w:r w:rsidRPr="001A0E92">
        <w:t>，其溫室氣體排量占斯國全國排放量的</w:t>
      </w:r>
      <w:r w:rsidRPr="001A0E92">
        <w:t>18%</w:t>
      </w:r>
      <w:r w:rsidRPr="001A0E92">
        <w:t>，員工</w:t>
      </w:r>
      <w:r w:rsidRPr="001A0E92">
        <w:t>900</w:t>
      </w:r>
      <w:r w:rsidRPr="001A0E92">
        <w:t>人。俄烏戰前，其鐵礦來自烏克蘭、焦煤來自俄羅斯，目前則均跨洲採購經波蘭港口路運至</w:t>
      </w:r>
      <w:r w:rsidRPr="001A0E92">
        <w:t>Kosice</w:t>
      </w:r>
      <w:r w:rsidRPr="001A0E92">
        <w:t>。</w:t>
      </w:r>
    </w:p>
    <w:p w:rsidR="00950597" w:rsidRPr="001A0E92" w:rsidRDefault="00950597" w:rsidP="00720093">
      <w:pPr>
        <w:pStyle w:val="afe"/>
        <w:ind w:left="1416" w:firstLine="472"/>
      </w:pPr>
      <w:r w:rsidRPr="001A0E92">
        <w:t>美商</w:t>
      </w:r>
      <w:r w:rsidRPr="001A0E92">
        <w:t>Onsemi</w:t>
      </w:r>
      <w:r w:rsidRPr="001A0E92">
        <w:t>為全球</w:t>
      </w:r>
      <w:r w:rsidRPr="001A0E92">
        <w:t>20</w:t>
      </w:r>
      <w:r w:rsidRPr="001A0E92">
        <w:t>大半導體公司之一，在斯國主要提供車用穩壓器（</w:t>
      </w:r>
      <w:r w:rsidRPr="001A0E92">
        <w:t>LDO</w:t>
      </w:r>
      <w:r w:rsidRPr="001A0E92">
        <w:t>）、工業用影像產品、碳化矽（</w:t>
      </w:r>
      <w:r w:rsidRPr="001A0E92">
        <w:t>SiC</w:t>
      </w:r>
      <w:r w:rsidRPr="001A0E92">
        <w:t>）高壓高功率元件等類型產品，在斯國</w:t>
      </w:r>
      <w:r w:rsidRPr="001A0E92">
        <w:t>Piestany</w:t>
      </w:r>
      <w:r w:rsidRPr="001A0E92">
        <w:t>設有解決方案工程中心及技術支援中心、</w:t>
      </w:r>
      <w:r w:rsidRPr="001A0E92">
        <w:t>Bratislava</w:t>
      </w:r>
      <w:r w:rsidRPr="001A0E92">
        <w:t>設有設計中心，俾就近和客戶合作，提供長期發展建議。該公司看好斯國於半導體設計人力優質（多自斯國科技大學招募）且相對便宜，目前以汽車工業與智慧製造產業為目標市場，在斯進行產品開發及量產。</w:t>
      </w:r>
    </w:p>
    <w:p w:rsidR="00950597" w:rsidRPr="001A0E92" w:rsidRDefault="00720093" w:rsidP="00720093">
      <w:pPr>
        <w:pStyle w:val="afb"/>
        <w:ind w:left="1416" w:hanging="472"/>
      </w:pPr>
      <w:r w:rsidRPr="001A0E92">
        <w:t>２</w:t>
      </w:r>
      <w:r w:rsidRPr="001A0E92">
        <w:rPr>
          <w:rFonts w:hint="eastAsia"/>
        </w:rPr>
        <w:t>、</w:t>
      </w:r>
      <w:r w:rsidR="00950597" w:rsidRPr="001A0E92">
        <w:t>韓商</w:t>
      </w:r>
    </w:p>
    <w:p w:rsidR="00950597" w:rsidRPr="001A0E92" w:rsidRDefault="00950597" w:rsidP="00720093">
      <w:pPr>
        <w:pStyle w:val="afe"/>
        <w:ind w:left="1416" w:firstLine="472"/>
      </w:pPr>
      <w:r w:rsidRPr="001A0E92">
        <w:t>韓國為東亞國家第</w:t>
      </w:r>
      <w:r w:rsidRPr="001A0E92">
        <w:t>1</w:t>
      </w:r>
      <w:r w:rsidRPr="001A0E92">
        <w:t>大外資來源國，</w:t>
      </w:r>
      <w:r w:rsidRPr="001A0E92">
        <w:t>100</w:t>
      </w:r>
      <w:r w:rsidRPr="001A0E92">
        <w:t>家韓商總投資金累計達</w:t>
      </w:r>
      <w:r w:rsidRPr="001A0E92">
        <w:t>29</w:t>
      </w:r>
      <w:r w:rsidRPr="001A0E92">
        <w:t>億歐元，為東亞國家在斯洛伐克創造就業機會之首。駐斯洛伐克韓國大使館表示，約有</w:t>
      </w:r>
      <w:r w:rsidRPr="001A0E92">
        <w:t>2,000</w:t>
      </w:r>
      <w:r w:rsidRPr="001A0E92">
        <w:t>個韓國僑民旅居斯國。</w:t>
      </w:r>
    </w:p>
    <w:p w:rsidR="00950597" w:rsidRPr="001A0E92" w:rsidRDefault="00950597" w:rsidP="00720093">
      <w:pPr>
        <w:pStyle w:val="afe"/>
        <w:ind w:left="1416" w:firstLine="472"/>
      </w:pPr>
      <w:r w:rsidRPr="001A0E92">
        <w:t>根據斯國「中歐亞洲研究協會」</w:t>
      </w:r>
      <w:r w:rsidR="004F0E9D" w:rsidRPr="001A0E92">
        <w:rPr>
          <w:rFonts w:hint="eastAsia"/>
        </w:rPr>
        <w:t>（</w:t>
      </w:r>
      <w:r w:rsidRPr="001A0E92">
        <w:t>CEIAS</w:t>
      </w:r>
      <w:r w:rsidR="004F0E9D" w:rsidRPr="001A0E92">
        <w:rPr>
          <w:rFonts w:hint="eastAsia"/>
        </w:rPr>
        <w:t>）</w:t>
      </w:r>
      <w:r w:rsidRPr="001A0E92">
        <w:t>2021</w:t>
      </w:r>
      <w:r w:rsidRPr="001A0E92">
        <w:t>年研究報告，</w:t>
      </w:r>
      <w:r w:rsidRPr="001A0E92">
        <w:t>2010</w:t>
      </w:r>
      <w:r w:rsidRPr="001A0E92">
        <w:t>至</w:t>
      </w:r>
      <w:r w:rsidRPr="001A0E92">
        <w:t>2020</w:t>
      </w:r>
      <w:r w:rsidRPr="001A0E92">
        <w:t>年期間，韓商納稅總額達</w:t>
      </w:r>
      <w:r w:rsidRPr="001A0E92">
        <w:t>9</w:t>
      </w:r>
      <w:r w:rsidRPr="001A0E92">
        <w:t>億</w:t>
      </w:r>
      <w:r w:rsidRPr="001A0E92">
        <w:t>6,980</w:t>
      </w:r>
      <w:r w:rsidRPr="001A0E92">
        <w:t>萬歐元。</w:t>
      </w:r>
      <w:r w:rsidRPr="001A0E92">
        <w:t>2019</w:t>
      </w:r>
      <w:r w:rsidRPr="001A0E92">
        <w:t>年起美中貿易摩擦及各國對採購中國大陸</w:t>
      </w:r>
      <w:r w:rsidRPr="001A0E92">
        <w:t>5G</w:t>
      </w:r>
      <w:r w:rsidRPr="001A0E92">
        <w:t>通訊建設卻步，韓商亦趁勢發展與斯國之通訊技術合作，成為斯國重要供應商。</w:t>
      </w:r>
    </w:p>
    <w:p w:rsidR="00950597" w:rsidRPr="001A0E92" w:rsidRDefault="00950597" w:rsidP="00720093">
      <w:pPr>
        <w:pStyle w:val="afe"/>
        <w:ind w:left="1416" w:firstLine="472"/>
      </w:pPr>
      <w:r w:rsidRPr="001A0E92">
        <w:t>KIA Motors</w:t>
      </w:r>
      <w:r w:rsidRPr="001A0E92">
        <w:t>在斯國</w:t>
      </w:r>
      <w:r w:rsidRPr="001A0E92">
        <w:t>Zilina</w:t>
      </w:r>
      <w:r w:rsidRPr="001A0E92">
        <w:t>市設廠年產汽車近</w:t>
      </w:r>
      <w:r w:rsidRPr="001A0E92">
        <w:t>33</w:t>
      </w:r>
      <w:r w:rsidRPr="001A0E92">
        <w:t>萬輛，並規劃從</w:t>
      </w:r>
      <w:r w:rsidRPr="001A0E92">
        <w:t>2025</w:t>
      </w:r>
      <w:r w:rsidRPr="001A0E92">
        <w:t>年批量生產純電池電動汽車</w:t>
      </w:r>
      <w:r w:rsidR="004F0E9D" w:rsidRPr="001A0E92">
        <w:rPr>
          <w:rFonts w:hint="eastAsia"/>
        </w:rPr>
        <w:t>（</w:t>
      </w:r>
      <w:r w:rsidRPr="001A0E92">
        <w:t>BEV</w:t>
      </w:r>
      <w:r w:rsidR="004F0E9D" w:rsidRPr="001A0E92">
        <w:rPr>
          <w:rFonts w:hint="eastAsia"/>
        </w:rPr>
        <w:t>）</w:t>
      </w:r>
      <w:r w:rsidRPr="001A0E92">
        <w:t>以供給歐洲市場。三星電子</w:t>
      </w:r>
      <w:r w:rsidRPr="001A0E92">
        <w:t>1998</w:t>
      </w:r>
      <w:r w:rsidRPr="001A0E92">
        <w:t>年起在斯國西部</w:t>
      </w:r>
      <w:r w:rsidRPr="001A0E92">
        <w:t>Galanta</w:t>
      </w:r>
      <w:r w:rsidRPr="001A0E92">
        <w:t>鎮設廠製造液晶電視模組、電視機等，目前員工已高達</w:t>
      </w:r>
      <w:r w:rsidRPr="001A0E92">
        <w:t>4,478</w:t>
      </w:r>
      <w:r w:rsidRPr="001A0E92">
        <w:t>人。斯國經濟部估算，三星新廠加計併同進駐之</w:t>
      </w:r>
      <w:r w:rsidRPr="001A0E92">
        <w:t>7</w:t>
      </w:r>
      <w:r w:rsidRPr="001A0E92">
        <w:t>家韓國協力廠如</w:t>
      </w:r>
      <w:r w:rsidRPr="001A0E92">
        <w:t>Samsung CHEIL</w:t>
      </w:r>
      <w:r w:rsidR="004F0E9D" w:rsidRPr="001A0E92">
        <w:rPr>
          <w:rFonts w:hint="eastAsia"/>
        </w:rPr>
        <w:t>（</w:t>
      </w:r>
      <w:r w:rsidRPr="001A0E92">
        <w:t>液晶模組塑膠配件</w:t>
      </w:r>
      <w:r w:rsidR="004F0E9D" w:rsidRPr="001A0E92">
        <w:rPr>
          <w:rFonts w:hint="eastAsia"/>
        </w:rPr>
        <w:t>）</w:t>
      </w:r>
      <w:r w:rsidRPr="001A0E92">
        <w:t>、</w:t>
      </w:r>
      <w:r w:rsidRPr="001A0E92">
        <w:t>Shinwha</w:t>
      </w:r>
      <w:r w:rsidR="004F0E9D" w:rsidRPr="001A0E92">
        <w:rPr>
          <w:rFonts w:hint="eastAsia"/>
        </w:rPr>
        <w:t>（</w:t>
      </w:r>
      <w:r w:rsidRPr="001A0E92">
        <w:t>液晶模組濾光片</w:t>
      </w:r>
      <w:r w:rsidR="004F0E9D" w:rsidRPr="001A0E92">
        <w:rPr>
          <w:rFonts w:hint="eastAsia"/>
        </w:rPr>
        <w:t>）</w:t>
      </w:r>
      <w:r w:rsidRPr="001A0E92">
        <w:t>、</w:t>
      </w:r>
      <w:r w:rsidRPr="001A0E92">
        <w:t>Samjin</w:t>
      </w:r>
      <w:r w:rsidR="004F0E9D" w:rsidRPr="001A0E92">
        <w:rPr>
          <w:rFonts w:hint="eastAsia"/>
        </w:rPr>
        <w:t>（</w:t>
      </w:r>
      <w:r w:rsidRPr="001A0E92">
        <w:t>塑膠配件沖壓</w:t>
      </w:r>
      <w:r w:rsidR="004F0E9D" w:rsidRPr="001A0E92">
        <w:rPr>
          <w:rFonts w:hint="eastAsia"/>
        </w:rPr>
        <w:t>）</w:t>
      </w:r>
      <w:r w:rsidRPr="001A0E92">
        <w:t>、</w:t>
      </w:r>
      <w:r w:rsidRPr="001A0E92">
        <w:t>Hansol</w:t>
      </w:r>
      <w:r w:rsidR="004F0E9D" w:rsidRPr="001A0E92">
        <w:rPr>
          <w:rFonts w:hint="eastAsia"/>
        </w:rPr>
        <w:t>（</w:t>
      </w:r>
      <w:r w:rsidRPr="001A0E92">
        <w:t>液晶模組塑鋼配件</w:t>
      </w:r>
      <w:r w:rsidR="004F0E9D" w:rsidRPr="001A0E92">
        <w:rPr>
          <w:rFonts w:hint="eastAsia"/>
        </w:rPr>
        <w:t>）</w:t>
      </w:r>
      <w:r w:rsidRPr="001A0E92">
        <w:t>及</w:t>
      </w:r>
      <w:r w:rsidRPr="001A0E92">
        <w:t>Fine DNC</w:t>
      </w:r>
      <w:r w:rsidR="004F0E9D" w:rsidRPr="001A0E92">
        <w:rPr>
          <w:rFonts w:hint="eastAsia"/>
        </w:rPr>
        <w:t>（</w:t>
      </w:r>
      <w:r w:rsidRPr="001A0E92">
        <w:t>模組鋼架</w:t>
      </w:r>
      <w:r w:rsidR="004F0E9D" w:rsidRPr="001A0E92">
        <w:rPr>
          <w:rFonts w:hint="eastAsia"/>
        </w:rPr>
        <w:t>）</w:t>
      </w:r>
      <w:r w:rsidRPr="001A0E92">
        <w:t>等，投資總額約</w:t>
      </w:r>
      <w:r w:rsidRPr="001A0E92">
        <w:t>3</w:t>
      </w:r>
      <w:r w:rsidRPr="001A0E92">
        <w:t>億歐元。另根據</w:t>
      </w:r>
      <w:r w:rsidRPr="001A0E92">
        <w:t>Business Korea</w:t>
      </w:r>
      <w:r w:rsidRPr="001A0E92">
        <w:t>報導，韓國現代集團已選擇斯國做為進軍歐洲電動汽車市場的橋頭堡。</w:t>
      </w:r>
    </w:p>
    <w:p w:rsidR="00950597" w:rsidRPr="001A0E92" w:rsidRDefault="00720093" w:rsidP="00720093">
      <w:pPr>
        <w:pStyle w:val="afb"/>
        <w:ind w:left="1416" w:hanging="472"/>
      </w:pPr>
      <w:r w:rsidRPr="001A0E92">
        <w:rPr>
          <w:rFonts w:hint="eastAsia"/>
        </w:rPr>
        <w:t>３、</w:t>
      </w:r>
      <w:r w:rsidR="00950597" w:rsidRPr="001A0E92">
        <w:t>日商</w:t>
      </w:r>
    </w:p>
    <w:p w:rsidR="00950597" w:rsidRPr="001A0E92" w:rsidRDefault="00950597" w:rsidP="00720093">
      <w:pPr>
        <w:pStyle w:val="afe"/>
        <w:ind w:left="1416" w:firstLine="472"/>
      </w:pPr>
      <w:r w:rsidRPr="001A0E92">
        <w:t>日本新力（</w:t>
      </w:r>
      <w:r w:rsidRPr="001A0E92">
        <w:t>Sony</w:t>
      </w:r>
      <w:r w:rsidRPr="001A0E92">
        <w:t>）早年在</w:t>
      </w:r>
      <w:r w:rsidRPr="001A0E92">
        <w:t>Trnava</w:t>
      </w:r>
      <w:r w:rsidRPr="001A0E92">
        <w:t>生產液晶電視，年產約</w:t>
      </w:r>
      <w:r w:rsidRPr="001A0E92">
        <w:t>200</w:t>
      </w:r>
      <w:r w:rsidRPr="001A0E92">
        <w:t>萬台，於調整產業布局後退出斯國，為我商鴻海科技集團（</w:t>
      </w:r>
      <w:r w:rsidRPr="001A0E92">
        <w:t>Foxconn</w:t>
      </w:r>
      <w:r w:rsidRPr="001A0E92">
        <w:t>）併購。</w:t>
      </w:r>
    </w:p>
    <w:p w:rsidR="00950597" w:rsidRPr="001A0E92" w:rsidRDefault="00950597" w:rsidP="00720093">
      <w:pPr>
        <w:pStyle w:val="afe"/>
        <w:ind w:left="1416" w:firstLine="472"/>
      </w:pPr>
      <w:r w:rsidRPr="001A0E92">
        <w:t>根據斯國「中歐亞洲研究協會」（</w:t>
      </w:r>
      <w:r w:rsidRPr="001A0E92">
        <w:t>CEIAS</w:t>
      </w:r>
      <w:r w:rsidRPr="001A0E92">
        <w:t>）</w:t>
      </w:r>
      <w:r w:rsidRPr="001A0E92">
        <w:t>2021</w:t>
      </w:r>
      <w:r w:rsidRPr="001A0E92">
        <w:t>年研究報告，日本為東亞第</w:t>
      </w:r>
      <w:r w:rsidRPr="001A0E92">
        <w:t>2</w:t>
      </w:r>
      <w:r w:rsidRPr="001A0E92">
        <w:t>大外資來源國，累計投資總額</w:t>
      </w:r>
      <w:r w:rsidRPr="001A0E92">
        <w:t>4</w:t>
      </w:r>
      <w:r w:rsidRPr="001A0E92">
        <w:t>億</w:t>
      </w:r>
      <w:r w:rsidRPr="001A0E92">
        <w:t>1,100</w:t>
      </w:r>
      <w:r w:rsidRPr="001A0E92">
        <w:t>萬歐元，目前</w:t>
      </w:r>
      <w:r w:rsidRPr="001A0E92">
        <w:t>66</w:t>
      </w:r>
      <w:r w:rsidRPr="001A0E92">
        <w:t>家日商在斯國僱用約達</w:t>
      </w:r>
      <w:r w:rsidRPr="001A0E92">
        <w:t>1</w:t>
      </w:r>
      <w:r w:rsidRPr="001A0E92">
        <w:t>萬</w:t>
      </w:r>
      <w:r w:rsidRPr="001A0E92">
        <w:t>3,000</w:t>
      </w:r>
      <w:r w:rsidRPr="001A0E92">
        <w:t>名勞工，</w:t>
      </w:r>
      <w:r w:rsidRPr="001A0E92">
        <w:t>2010</w:t>
      </w:r>
      <w:r w:rsidRPr="001A0E92">
        <w:t>年至</w:t>
      </w:r>
      <w:r w:rsidRPr="001A0E92">
        <w:t>2019</w:t>
      </w:r>
      <w:r w:rsidRPr="001A0E92">
        <w:t>年納稅總額達</w:t>
      </w:r>
      <w:r w:rsidRPr="001A0E92">
        <w:t>6,223</w:t>
      </w:r>
      <w:r w:rsidRPr="001A0E92">
        <w:t>萬歐元，精密機電、電子及工業設備等為主要投資領域。另斯商對與日商合作多持正面看法，信任指數甚至高於德國及俄羅斯。</w:t>
      </w:r>
    </w:p>
    <w:p w:rsidR="00950597" w:rsidRPr="001A0E92" w:rsidRDefault="00720093" w:rsidP="00720093">
      <w:pPr>
        <w:pStyle w:val="afb"/>
        <w:ind w:left="1416" w:hanging="472"/>
      </w:pPr>
      <w:r w:rsidRPr="001A0E92">
        <w:rPr>
          <w:rFonts w:hint="eastAsia"/>
        </w:rPr>
        <w:t>４、</w:t>
      </w:r>
      <w:r w:rsidR="00950597" w:rsidRPr="001A0E92">
        <w:t>中商</w:t>
      </w:r>
    </w:p>
    <w:p w:rsidR="00950597" w:rsidRPr="001A0E92" w:rsidRDefault="00950597" w:rsidP="00720093">
      <w:pPr>
        <w:pStyle w:val="afe"/>
        <w:ind w:left="1416" w:firstLine="472"/>
      </w:pPr>
      <w:r w:rsidRPr="001A0E92">
        <w:t>2015</w:t>
      </w:r>
      <w:r w:rsidRPr="001A0E92">
        <w:t>年斯國與中國大陸簽署「一帶一路政府間諒解合作備忘錄」，雙方曾討論基礎設施投資及產業和技術開發合作，</w:t>
      </w:r>
      <w:r w:rsidRPr="001A0E92">
        <w:t>2016</w:t>
      </w:r>
      <w:r w:rsidRPr="001A0E92">
        <w:t>年開始陸續傳出中資企業擬於斯國進行重大投資案，包括河南鋼鐵併購美國鋼鐵</w:t>
      </w:r>
      <w:r w:rsidRPr="001A0E92">
        <w:t>Kosice</w:t>
      </w:r>
      <w:r w:rsidRPr="001A0E92">
        <w:t>廠、投資設廠生產電動汽車、輪胎廠及鐵路貨運等，惟尚無具體合作事項。根據斯國「中歐亞洲研究協會」（</w:t>
      </w:r>
      <w:r w:rsidRPr="001A0E92">
        <w:t>CEIAS</w:t>
      </w:r>
      <w:r w:rsidRPr="001A0E92">
        <w:t>）</w:t>
      </w:r>
      <w:r w:rsidRPr="001A0E92">
        <w:t>2021</w:t>
      </w:r>
      <w:r w:rsidRPr="001A0E92">
        <w:t>年研究報告，</w:t>
      </w:r>
      <w:r w:rsidRPr="001A0E92">
        <w:t>2000-2020</w:t>
      </w:r>
      <w:r w:rsidRPr="001A0E92">
        <w:t>年中國大陸在斯洛伐克投資的累計金額約為</w:t>
      </w:r>
      <w:r w:rsidRPr="001A0E92">
        <w:t>2</w:t>
      </w:r>
      <w:r w:rsidRPr="001A0E92">
        <w:t>億歐元，在斯中國大陸廠商家數約</w:t>
      </w:r>
      <w:r w:rsidRPr="001A0E92">
        <w:t>1,309</w:t>
      </w:r>
      <w:r w:rsidRPr="001A0E92">
        <w:t>家，僱用約</w:t>
      </w:r>
      <w:r w:rsidRPr="001A0E92">
        <w:t>2,800</w:t>
      </w:r>
      <w:r w:rsidRPr="001A0E92">
        <w:t>人，是在歐盟國家獲得中國大陸投資最少的國家之一。</w:t>
      </w:r>
    </w:p>
    <w:p w:rsidR="00950597" w:rsidRPr="001A0E92" w:rsidRDefault="00950597" w:rsidP="00720093">
      <w:pPr>
        <w:pStyle w:val="afe"/>
        <w:ind w:left="1416" w:firstLine="472"/>
      </w:pPr>
      <w:r w:rsidRPr="001A0E92">
        <w:t>中國大陸聯想集團（</w:t>
      </w:r>
      <w:r w:rsidRPr="001A0E92">
        <w:t>Lenovo</w:t>
      </w:r>
      <w:r w:rsidRPr="001A0E92">
        <w:t>）於</w:t>
      </w:r>
      <w:r w:rsidRPr="001A0E92">
        <w:t>2006</w:t>
      </w:r>
      <w:r w:rsidRPr="001A0E92">
        <w:t>年</w:t>
      </w:r>
      <w:r w:rsidRPr="001A0E92">
        <w:t>11</w:t>
      </w:r>
      <w:r w:rsidRPr="001A0E92">
        <w:t>月在斯京設立營運中心，就近服務歐洲、中東及非洲地區（</w:t>
      </w:r>
      <w:r w:rsidRPr="001A0E92">
        <w:t>EMEA</w:t>
      </w:r>
      <w:r w:rsidRPr="001A0E92">
        <w:t>）客戶。該營運中心可提供客服、技術支援、物流及財務等服務，僱用員工約</w:t>
      </w:r>
      <w:r w:rsidRPr="001A0E92">
        <w:t>638</w:t>
      </w:r>
      <w:r w:rsidRPr="001A0E92">
        <w:t>名。</w:t>
      </w:r>
    </w:p>
    <w:p w:rsidR="00950597" w:rsidRPr="001A0E92" w:rsidRDefault="00950597" w:rsidP="00720093">
      <w:pPr>
        <w:pStyle w:val="afe"/>
        <w:ind w:left="1416" w:firstLine="472"/>
      </w:pPr>
      <w:r w:rsidRPr="001A0E92">
        <w:t>上述東亞國家中，韓國為第</w:t>
      </w:r>
      <w:r w:rsidRPr="001A0E92">
        <w:t>1</w:t>
      </w:r>
      <w:r w:rsidRPr="001A0E92">
        <w:t>大外資來源國</w:t>
      </w:r>
      <w:r w:rsidR="004F0E9D" w:rsidRPr="001A0E92">
        <w:rPr>
          <w:rFonts w:hint="eastAsia"/>
        </w:rPr>
        <w:t>（</w:t>
      </w:r>
      <w:r w:rsidRPr="001A0E92">
        <w:t>29</w:t>
      </w:r>
      <w:r w:rsidRPr="001A0E92">
        <w:t>億歐元</w:t>
      </w:r>
      <w:r w:rsidR="004F0E9D" w:rsidRPr="001A0E92">
        <w:rPr>
          <w:rFonts w:hint="eastAsia"/>
        </w:rPr>
        <w:t>）</w:t>
      </w:r>
      <w:r w:rsidRPr="001A0E92">
        <w:t>，其次為日本</w:t>
      </w:r>
      <w:r w:rsidR="004F0E9D" w:rsidRPr="001A0E92">
        <w:rPr>
          <w:rFonts w:hint="eastAsia"/>
        </w:rPr>
        <w:t>（</w:t>
      </w:r>
      <w:r w:rsidRPr="001A0E92">
        <w:t>4</w:t>
      </w:r>
      <w:r w:rsidRPr="001A0E92">
        <w:t>億</w:t>
      </w:r>
      <w:r w:rsidRPr="001A0E92">
        <w:t>1,100</w:t>
      </w:r>
      <w:r w:rsidRPr="001A0E92">
        <w:t>萬歐元</w:t>
      </w:r>
      <w:r w:rsidR="004F0E9D" w:rsidRPr="001A0E92">
        <w:rPr>
          <w:rFonts w:hint="eastAsia"/>
        </w:rPr>
        <w:t>）</w:t>
      </w:r>
      <w:r w:rsidRPr="001A0E92">
        <w:t>、臺灣</w:t>
      </w:r>
      <w:r w:rsidR="004F0E9D" w:rsidRPr="001A0E92">
        <w:rPr>
          <w:rFonts w:hint="eastAsia"/>
        </w:rPr>
        <w:t>（</w:t>
      </w:r>
      <w:r w:rsidRPr="001A0E92">
        <w:t>2.5</w:t>
      </w:r>
      <w:r w:rsidRPr="001A0E92">
        <w:t>億歐元</w:t>
      </w:r>
      <w:r w:rsidR="004F0E9D" w:rsidRPr="001A0E92">
        <w:rPr>
          <w:rFonts w:hint="eastAsia"/>
        </w:rPr>
        <w:t>）</w:t>
      </w:r>
      <w:r w:rsidRPr="001A0E92">
        <w:t>、中國大陸</w:t>
      </w:r>
      <w:r w:rsidR="004F0E9D" w:rsidRPr="001A0E92">
        <w:rPr>
          <w:rFonts w:hint="eastAsia"/>
        </w:rPr>
        <w:t>（</w:t>
      </w:r>
      <w:r w:rsidRPr="001A0E92">
        <w:t>2</w:t>
      </w:r>
      <w:r w:rsidRPr="001A0E92">
        <w:t>億歐元</w:t>
      </w:r>
      <w:r w:rsidR="004F0E9D" w:rsidRPr="001A0E92">
        <w:rPr>
          <w:rFonts w:hint="eastAsia"/>
        </w:rPr>
        <w:t>）</w:t>
      </w:r>
      <w:r w:rsidRPr="001A0E92">
        <w:t>。</w:t>
      </w:r>
    </w:p>
    <w:p w:rsidR="00950597" w:rsidRPr="001A0E92" w:rsidRDefault="00950597" w:rsidP="00720093">
      <w:pPr>
        <w:pStyle w:val="af3"/>
        <w:spacing w:before="257" w:after="257"/>
        <w:ind w:left="632" w:hanging="632"/>
        <w:rPr>
          <w:color w:val="auto"/>
        </w:rPr>
      </w:pPr>
      <w:r w:rsidRPr="001A0E92">
        <w:rPr>
          <w:color w:val="auto"/>
        </w:rPr>
        <w:t>二、臺商在當地經營現況</w:t>
      </w:r>
    </w:p>
    <w:p w:rsidR="00950597" w:rsidRPr="001A0E92" w:rsidRDefault="00950597" w:rsidP="00720093">
      <w:pPr>
        <w:pStyle w:val="a0"/>
        <w:ind w:firstLine="472"/>
      </w:pPr>
      <w:r w:rsidRPr="001A0E92">
        <w:t>目前在斯洛伐克投資或設有營運據點的上市櫃大型臺商計有</w:t>
      </w:r>
      <w:r w:rsidRPr="001A0E92">
        <w:t>4</w:t>
      </w:r>
      <w:r w:rsidRPr="001A0E92">
        <w:t>家，投資概況如下：</w:t>
      </w:r>
    </w:p>
    <w:p w:rsidR="00950597" w:rsidRPr="001A0E92" w:rsidRDefault="00950597" w:rsidP="00720093">
      <w:pPr>
        <w:pStyle w:val="af8"/>
        <w:ind w:left="944" w:hanging="708"/>
      </w:pPr>
      <w:r w:rsidRPr="001A0E92">
        <w:t>（一）</w:t>
      </w:r>
      <w:r w:rsidRPr="001A0E92">
        <w:tab/>
      </w:r>
      <w:r w:rsidRPr="001A0E92">
        <w:t>台達電子（</w:t>
      </w:r>
      <w:r w:rsidRPr="001A0E92">
        <w:t>Delta Electronics</w:t>
      </w:r>
      <w:r w:rsidRPr="001A0E92">
        <w:t>）</w:t>
      </w:r>
    </w:p>
    <w:p w:rsidR="00950597" w:rsidRPr="001A0E92" w:rsidRDefault="00950597" w:rsidP="00720093">
      <w:pPr>
        <w:pStyle w:val="af9"/>
        <w:ind w:left="944" w:firstLine="472"/>
      </w:pPr>
      <w:r w:rsidRPr="001A0E92">
        <w:t>資金來源為泰國泰達電公司，主要營業項目包括：通信、資訊電子、工業自動化及醫療設備使用之電源系統、太陽能電池及風力渦輪機之變流器（</w:t>
      </w:r>
      <w:r w:rsidRPr="001A0E92">
        <w:t>inverter</w:t>
      </w:r>
      <w:r w:rsidRPr="001A0E92">
        <w:t>）、大型顯示器（或稱</w:t>
      </w:r>
      <w:r w:rsidRPr="001A0E92">
        <w:t>LED walls</w:t>
      </w:r>
      <w:r w:rsidRPr="001A0E92">
        <w:t>，可供醫療用途或監控室使用）。公司原投資額約</w:t>
      </w:r>
      <w:r w:rsidRPr="001A0E92">
        <w:t>5,350</w:t>
      </w:r>
      <w:r w:rsidRPr="001A0E92">
        <w:t>萬歐元，僱用員工約</w:t>
      </w:r>
      <w:r w:rsidRPr="001A0E92">
        <w:t>1,100</w:t>
      </w:r>
      <w:r w:rsidRPr="001A0E92">
        <w:t>人；</w:t>
      </w:r>
      <w:r w:rsidRPr="001A0E92">
        <w:t>2014</w:t>
      </w:r>
      <w:r w:rsidRPr="001A0E92">
        <w:t>年併購位於</w:t>
      </w:r>
      <w:r w:rsidRPr="001A0E92">
        <w:t xml:space="preserve">Liptovsky Hradok </w:t>
      </w:r>
      <w:r w:rsidRPr="001A0E92">
        <w:t>之</w:t>
      </w:r>
      <w:r w:rsidRPr="001A0E92">
        <w:t>Eltek</w:t>
      </w:r>
      <w:r w:rsidRPr="001A0E92">
        <w:t>公司</w:t>
      </w:r>
      <w:r w:rsidR="004F0E9D" w:rsidRPr="001A0E92">
        <w:rPr>
          <w:rFonts w:hint="eastAsia"/>
        </w:rPr>
        <w:t>（</w:t>
      </w:r>
      <w:r w:rsidRPr="001A0E92">
        <w:t>7,339</w:t>
      </w:r>
      <w:r w:rsidRPr="001A0E92">
        <w:t>萬歐元、</w:t>
      </w:r>
      <w:r w:rsidRPr="001A0E92">
        <w:t>600</w:t>
      </w:r>
      <w:r w:rsidRPr="001A0E92">
        <w:t>名員工</w:t>
      </w:r>
      <w:r w:rsidR="004F0E9D" w:rsidRPr="001A0E92">
        <w:rPr>
          <w:rFonts w:hint="eastAsia"/>
        </w:rPr>
        <w:t>）</w:t>
      </w:r>
      <w:r w:rsidRPr="001A0E92">
        <w:t>，從事電源櫃製造。</w:t>
      </w:r>
      <w:r w:rsidRPr="001A0E92">
        <w:t>2022</w:t>
      </w:r>
      <w:r w:rsidRPr="001A0E92">
        <w:t>年於</w:t>
      </w:r>
      <w:r w:rsidRPr="001A0E92">
        <w:t>Liptovsky Hradok</w:t>
      </w:r>
      <w:r w:rsidRPr="001A0E92">
        <w:t>新增投資</w:t>
      </w:r>
      <w:r w:rsidRPr="001A0E92">
        <w:t>1,500</w:t>
      </w:r>
      <w:r w:rsidRPr="001A0E92">
        <w:t>萬歐元，製造通訊電源櫃，總僱用員工約</w:t>
      </w:r>
      <w:r w:rsidRPr="001A0E92">
        <w:t>1,700</w:t>
      </w:r>
      <w:r w:rsidRPr="001A0E92">
        <w:t>人。受全球電動車需求增加，</w:t>
      </w:r>
      <w:r w:rsidRPr="001A0E92">
        <w:t>2023</w:t>
      </w:r>
      <w:r w:rsidRPr="001A0E92">
        <w:t>年該公司在</w:t>
      </w:r>
      <w:r w:rsidRPr="001A0E92">
        <w:t>Dunica Nad Vahom</w:t>
      </w:r>
      <w:r w:rsidRPr="001A0E92">
        <w:t>已增設充電樁及電動車馬達，未來將增加車載充電器。</w:t>
      </w:r>
    </w:p>
    <w:p w:rsidR="00950597" w:rsidRPr="001A0E92" w:rsidRDefault="00950597" w:rsidP="00720093">
      <w:pPr>
        <w:pStyle w:val="af8"/>
        <w:ind w:left="944" w:hanging="708"/>
      </w:pPr>
      <w:r w:rsidRPr="001A0E92">
        <w:t>（二）</w:t>
      </w:r>
      <w:r w:rsidRPr="001A0E92">
        <w:tab/>
      </w:r>
      <w:r w:rsidRPr="001A0E92">
        <w:t>鴻海科技（</w:t>
      </w:r>
      <w:r w:rsidRPr="001A0E92">
        <w:t>Foxconn Technology</w:t>
      </w:r>
      <w:r w:rsidRPr="001A0E92">
        <w:t>）</w:t>
      </w:r>
    </w:p>
    <w:p w:rsidR="00950597" w:rsidRPr="001A0E92" w:rsidRDefault="00950597" w:rsidP="00720093">
      <w:pPr>
        <w:pStyle w:val="af9"/>
        <w:ind w:left="944" w:firstLine="472"/>
      </w:pPr>
      <w:r w:rsidRPr="001A0E92">
        <w:t>主要營業項目液晶電視及電視機上盒，在斯國</w:t>
      </w:r>
      <w:r w:rsidRPr="001A0E92">
        <w:t>Nitra</w:t>
      </w:r>
      <w:r w:rsidRPr="001A0E92">
        <w:t>市總投資額為</w:t>
      </w:r>
      <w:r w:rsidRPr="001A0E92">
        <w:t>5,978</w:t>
      </w:r>
      <w:r w:rsidRPr="001A0E92">
        <w:t>萬歐元。</w:t>
      </w:r>
      <w:r w:rsidRPr="001A0E92">
        <w:t>2022</w:t>
      </w:r>
      <w:r w:rsidRPr="001A0E92">
        <w:t>年新增投資</w:t>
      </w:r>
      <w:r w:rsidRPr="001A0E92">
        <w:t>477.9</w:t>
      </w:r>
      <w:r w:rsidRPr="001A0E92">
        <w:t>萬歐元，製造車燈用模組。總僱用員工數約</w:t>
      </w:r>
      <w:r w:rsidRPr="001A0E92">
        <w:t>2,050</w:t>
      </w:r>
      <w:r w:rsidRPr="001A0E92">
        <w:t>人。</w:t>
      </w:r>
    </w:p>
    <w:p w:rsidR="00950597" w:rsidRPr="001A0E92" w:rsidRDefault="00950597" w:rsidP="00720093">
      <w:pPr>
        <w:pStyle w:val="af8"/>
        <w:ind w:left="944" w:hanging="708"/>
      </w:pPr>
      <w:r w:rsidRPr="001A0E92">
        <w:t>（三）貿聯</w:t>
      </w:r>
      <w:r w:rsidR="004F0E9D" w:rsidRPr="001A0E92">
        <w:rPr>
          <w:rFonts w:hint="eastAsia"/>
        </w:rPr>
        <w:t>（</w:t>
      </w:r>
      <w:r w:rsidRPr="001A0E92">
        <w:t>Bizlink</w:t>
      </w:r>
      <w:r w:rsidR="004F0E9D" w:rsidRPr="001A0E92">
        <w:rPr>
          <w:rFonts w:hint="eastAsia"/>
        </w:rPr>
        <w:t>）</w:t>
      </w:r>
    </w:p>
    <w:p w:rsidR="00950597" w:rsidRPr="001A0E92" w:rsidRDefault="00950597" w:rsidP="00720093">
      <w:pPr>
        <w:pStyle w:val="af9"/>
        <w:ind w:left="944" w:firstLine="472"/>
      </w:pPr>
      <w:r w:rsidRPr="001A0E92">
        <w:t>高端連接器、線束、電纜線供應商貿聯於</w:t>
      </w:r>
      <w:r w:rsidRPr="001A0E92">
        <w:t>2021</w:t>
      </w:r>
      <w:r w:rsidRPr="001A0E92">
        <w:t>年收購位於斯國</w:t>
      </w:r>
      <w:r w:rsidRPr="001A0E92">
        <w:t>Trenčíanske Bohuslavice</w:t>
      </w:r>
      <w:r w:rsidRPr="001A0E92">
        <w:t>之德國電纜及電纜系統商</w:t>
      </w:r>
      <w:r w:rsidRPr="001A0E92">
        <w:t>LEONI Industrial Solutions</w:t>
      </w:r>
      <w:r w:rsidR="00720093" w:rsidRPr="001A0E92">
        <w:rPr>
          <w:rFonts w:ascii="華康細圓體" w:hint="eastAsia"/>
        </w:rPr>
        <w:t>，</w:t>
      </w:r>
      <w:r w:rsidRPr="001A0E92">
        <w:t>2022</w:t>
      </w:r>
      <w:r w:rsidRPr="001A0E92">
        <w:t>年</w:t>
      </w:r>
      <w:r w:rsidRPr="001A0E92">
        <w:t>5</w:t>
      </w:r>
      <w:r w:rsidRPr="001A0E92">
        <w:t>月該公司擴建</w:t>
      </w:r>
      <w:r w:rsidRPr="001A0E92">
        <w:t>PVC</w:t>
      </w:r>
      <w:r w:rsidRPr="001A0E92">
        <w:t>擠壓工廠，以擴大</w:t>
      </w:r>
      <w:r w:rsidRPr="001A0E92">
        <w:t>PVC</w:t>
      </w:r>
      <w:r w:rsidRPr="001A0E92">
        <w:t>電纜產品，並成為</w:t>
      </w:r>
      <w:r w:rsidRPr="001A0E92">
        <w:t>BizLink</w:t>
      </w:r>
      <w:r w:rsidRPr="001A0E92">
        <w:t>在歐洲的電纜生產中心之一。貿聯在斯累計投資約</w:t>
      </w:r>
      <w:r w:rsidRPr="001A0E92">
        <w:t>4,111</w:t>
      </w:r>
      <w:r w:rsidRPr="001A0E92">
        <w:t>萬歐元，僱用員工約</w:t>
      </w:r>
      <w:r w:rsidRPr="001A0E92">
        <w:t>200</w:t>
      </w:r>
      <w:r w:rsidRPr="001A0E92">
        <w:t>人。</w:t>
      </w:r>
    </w:p>
    <w:p w:rsidR="00950597" w:rsidRPr="001A0E92" w:rsidRDefault="004F0E9D" w:rsidP="00720093">
      <w:pPr>
        <w:pStyle w:val="af8"/>
        <w:ind w:left="944" w:hanging="708"/>
      </w:pPr>
      <w:r w:rsidRPr="001A0E92">
        <w:rPr>
          <w:rFonts w:hint="eastAsia"/>
        </w:rPr>
        <w:t>（</w:t>
      </w:r>
      <w:r w:rsidR="00950597" w:rsidRPr="001A0E92">
        <w:t>四</w:t>
      </w:r>
      <w:r w:rsidRPr="001A0E92">
        <w:rPr>
          <w:rFonts w:hint="eastAsia"/>
        </w:rPr>
        <w:t>）</w:t>
      </w:r>
      <w:r w:rsidR="00950597" w:rsidRPr="001A0E92">
        <w:t>友達光電（</w:t>
      </w:r>
      <w:r w:rsidR="00950597" w:rsidRPr="001A0E92">
        <w:t>AUO</w:t>
      </w:r>
      <w:r w:rsidR="00950597" w:rsidRPr="001A0E92">
        <w:t>）</w:t>
      </w:r>
    </w:p>
    <w:p w:rsidR="00950597" w:rsidRPr="001A0E92" w:rsidRDefault="00950597" w:rsidP="00720093">
      <w:pPr>
        <w:pStyle w:val="af9"/>
        <w:ind w:left="944" w:firstLine="472"/>
      </w:pPr>
      <w:r w:rsidRPr="001A0E92">
        <w:t>主要營業項目包括筆電、平板、顯示器等維修服務；在斯國</w:t>
      </w:r>
      <w:r w:rsidRPr="001A0E92">
        <w:t>Trencin</w:t>
      </w:r>
      <w:r w:rsidRPr="001A0E92">
        <w:t>市投資金額約</w:t>
      </w:r>
      <w:r w:rsidRPr="001A0E92">
        <w:t>100</w:t>
      </w:r>
      <w:r w:rsidRPr="001A0E92">
        <w:t>萬歐元，僱用員工約</w:t>
      </w:r>
      <w:r w:rsidRPr="001A0E92">
        <w:t>100</w:t>
      </w:r>
      <w:r w:rsidRPr="001A0E92">
        <w:t>人。</w:t>
      </w:r>
    </w:p>
    <w:p w:rsidR="00950597" w:rsidRPr="001A0E92" w:rsidRDefault="00950597" w:rsidP="00720093">
      <w:pPr>
        <w:pStyle w:val="af9"/>
        <w:ind w:left="944" w:firstLine="472"/>
      </w:pPr>
      <w:r w:rsidRPr="001A0E92">
        <w:t>我國為斯洛伐克第</w:t>
      </w:r>
      <w:r w:rsidRPr="001A0E92">
        <w:t>3</w:t>
      </w:r>
      <w:r w:rsidRPr="001A0E92">
        <w:t>大東亞外資來源國，台達電、鴻海富士康、貿聯、友達光電等企業在斯國僱用超過</w:t>
      </w:r>
      <w:r w:rsidRPr="001A0E92">
        <w:t>4,000</w:t>
      </w:r>
      <w:r w:rsidRPr="001A0E92">
        <w:t>人，累計直接投資金額約</w:t>
      </w:r>
      <w:r w:rsidRPr="001A0E92">
        <w:t>2.5</w:t>
      </w:r>
      <w:r w:rsidRPr="001A0E92">
        <w:t>億歐元。</w:t>
      </w:r>
    </w:p>
    <w:p w:rsidR="00950597" w:rsidRPr="001A0E92" w:rsidRDefault="00950597" w:rsidP="00720093">
      <w:pPr>
        <w:pStyle w:val="af3"/>
        <w:spacing w:before="257" w:after="257"/>
        <w:ind w:left="632" w:hanging="632"/>
        <w:rPr>
          <w:color w:val="auto"/>
        </w:rPr>
      </w:pPr>
      <w:r w:rsidRPr="001A0E92">
        <w:rPr>
          <w:color w:val="auto"/>
        </w:rPr>
        <w:t>三、投資機會</w:t>
      </w:r>
    </w:p>
    <w:p w:rsidR="00950597" w:rsidRPr="001A0E92" w:rsidRDefault="00950597" w:rsidP="00720093">
      <w:pPr>
        <w:pStyle w:val="af8"/>
        <w:ind w:left="944" w:hanging="708"/>
      </w:pPr>
      <w:r w:rsidRPr="001A0E92">
        <w:t>（一）適合國內廠商投資之產業：</w:t>
      </w:r>
    </w:p>
    <w:p w:rsidR="00950597" w:rsidRPr="001A0E92" w:rsidRDefault="00950597" w:rsidP="00720093">
      <w:pPr>
        <w:pStyle w:val="af9"/>
        <w:ind w:left="944" w:firstLine="472"/>
      </w:pPr>
      <w:r w:rsidRPr="001A0E92">
        <w:t>依據斯國投資暨貿易發展局（</w:t>
      </w:r>
      <w:r w:rsidRPr="001A0E92">
        <w:t>SARIO</w:t>
      </w:r>
      <w:r w:rsidRPr="001A0E92">
        <w:t>）分析報告，機械、精密工業、汽車、冶金與金屬加工、電子、化工及製藥產業固為斯國傳統主力產業，亦為外人直接投資之青睞對象，配合斯國經建目標朝高科技及策略性產業發展之趨勢觀之，未來從事資訊科技、軟體開發、技術中心、企業流程委外（</w:t>
      </w:r>
      <w:r w:rsidRPr="001A0E92">
        <w:t>BPO</w:t>
      </w:r>
      <w:r w:rsidRPr="001A0E92">
        <w:t>）、及區域營運總部之企業及投身研發、設計及創新活動者，可獲得較高之政府補助。另倘投資東部等加強開發地區，所獲投資獎勵高達</w:t>
      </w:r>
      <w:r w:rsidRPr="001A0E92">
        <w:t>50%</w:t>
      </w:r>
      <w:r w:rsidRPr="001A0E92">
        <w:t>。</w:t>
      </w:r>
    </w:p>
    <w:p w:rsidR="00950597" w:rsidRPr="001A0E92" w:rsidRDefault="00950597" w:rsidP="00720093">
      <w:pPr>
        <w:pStyle w:val="af9"/>
        <w:ind w:left="944" w:firstLine="472"/>
      </w:pPr>
      <w:r w:rsidRPr="001A0E92">
        <w:t>此外，我台杉投資中東歐投資基金於</w:t>
      </w:r>
      <w:r w:rsidRPr="001A0E92">
        <w:t>2023</w:t>
      </w:r>
      <w:r w:rsidRPr="001A0E92">
        <w:t>年宣布斯國首案，台杉投資斯國高科技</w:t>
      </w:r>
      <w:r w:rsidRPr="001A0E92">
        <w:t>3D</w:t>
      </w:r>
      <w:r w:rsidRPr="001A0E92">
        <w:t>掃描及智慧物流業者</w:t>
      </w:r>
      <w:r w:rsidRPr="001A0E92">
        <w:t>Photoneo</w:t>
      </w:r>
      <w:r w:rsidRPr="001A0E92">
        <w:t>。顯示資訊科技亦為斯國具發展及投資潛力產業。</w:t>
      </w:r>
    </w:p>
    <w:p w:rsidR="00950597" w:rsidRPr="001A0E92" w:rsidRDefault="00950597" w:rsidP="00720093">
      <w:pPr>
        <w:pStyle w:val="af9"/>
        <w:ind w:left="944" w:firstLine="472"/>
      </w:pPr>
      <w:r w:rsidRPr="001A0E92">
        <w:t>綜上，我商可配合歐盟東擴，將其生產基地、產品及服務由西歐市場向東延伸，亦可考慮同步在中東歐成立研發中心。若欲提升競爭力，最好能與協力廠商共同進駐，俾在斯國及中東歐地區發展成產業聚落（</w:t>
      </w:r>
      <w:r w:rsidRPr="001A0E92">
        <w:t>cluster</w:t>
      </w:r>
      <w:r w:rsidRPr="001A0E92">
        <w:t>），如此方能有效整合臺商在歐洲乃至全球的供應鏈</w:t>
      </w:r>
      <w:r w:rsidRPr="001A0E92">
        <w:t>/</w:t>
      </w:r>
      <w:r w:rsidRPr="001A0E92">
        <w:t>價值鏈，惟建議評估設廠地點之勞工供應是否無虞，宜併納入考量。</w:t>
      </w:r>
    </w:p>
    <w:p w:rsidR="00950597" w:rsidRPr="001A0E92" w:rsidRDefault="00950597" w:rsidP="00720093">
      <w:pPr>
        <w:pStyle w:val="af8"/>
        <w:ind w:left="944" w:hanging="708"/>
      </w:pPr>
      <w:r w:rsidRPr="001A0E92">
        <w:t>（二）適合臺商投資或拓展之產業分析：</w:t>
      </w:r>
    </w:p>
    <w:p w:rsidR="00950597" w:rsidRPr="001A0E92" w:rsidRDefault="00950597" w:rsidP="00720093">
      <w:pPr>
        <w:pStyle w:val="afb"/>
        <w:ind w:left="1416" w:hanging="472"/>
      </w:pPr>
      <w:r w:rsidRPr="001A0E92">
        <w:t>１、油電</w:t>
      </w:r>
      <w:r w:rsidRPr="001A0E92">
        <w:t>/</w:t>
      </w:r>
      <w:r w:rsidRPr="001A0E92">
        <w:t>電動車及零組件：汽車工業係斯國首要產業，占</w:t>
      </w:r>
      <w:r w:rsidRPr="001A0E92">
        <w:t>GDP</w:t>
      </w:r>
      <w:r w:rsidRPr="001A0E92">
        <w:t>比重達</w:t>
      </w:r>
      <w:r w:rsidRPr="001A0E92">
        <w:t>12%</w:t>
      </w:r>
      <w:r w:rsidRPr="001A0E92">
        <w:t>、工業總產量</w:t>
      </w:r>
      <w:r w:rsidRPr="001A0E92">
        <w:t>48%</w:t>
      </w:r>
      <w:r w:rsidRPr="001A0E92">
        <w:t>，上下游供應鏈廠商計達</w:t>
      </w:r>
      <w:r w:rsidRPr="001A0E92">
        <w:t>350</w:t>
      </w:r>
      <w:r w:rsidRPr="001A0E92">
        <w:t>家以上，四大外商汽車製造廠（</w:t>
      </w:r>
      <w:r w:rsidRPr="001A0E92">
        <w:t>the 4 Bigs</w:t>
      </w:r>
      <w:r w:rsidRPr="001A0E92">
        <w:t>）包括</w:t>
      </w:r>
      <w:r w:rsidRPr="001A0E92">
        <w:t xml:space="preserve">Volkswagen </w:t>
      </w:r>
      <w:r w:rsidRPr="001A0E92">
        <w:t>、</w:t>
      </w:r>
      <w:r w:rsidRPr="001A0E92">
        <w:t>KIA Motors</w:t>
      </w:r>
      <w:r w:rsidRPr="001A0E92">
        <w:t>、</w:t>
      </w:r>
      <w:r w:rsidRPr="001A0E92">
        <w:t>PSA Peugeot Citroen</w:t>
      </w:r>
      <w:r w:rsidRPr="001A0E92">
        <w:t>、</w:t>
      </w:r>
      <w:r w:rsidRPr="001A0E92">
        <w:t>Jaguar Land Rover</w:t>
      </w:r>
      <w:r w:rsidRPr="001A0E92">
        <w:t>等，已逐漸發表新的電動車款，惟採購決策權多在外商母廠而非在斯國</w:t>
      </w:r>
      <w:r w:rsidRPr="001A0E92">
        <w:t>OEM</w:t>
      </w:r>
      <w:r w:rsidRPr="001A0E92">
        <w:t>廠。除此之外，</w:t>
      </w:r>
      <w:r w:rsidRPr="001A0E92">
        <w:t>Volvo</w:t>
      </w:r>
      <w:r w:rsidRPr="001A0E92">
        <w:t>已宣</w:t>
      </w:r>
      <w:r w:rsidR="005A5E4E" w:rsidRPr="001A0E92">
        <w:t>布</w:t>
      </w:r>
      <w:r w:rsidRPr="001A0E92">
        <w:t>宣布投資</w:t>
      </w:r>
      <w:r w:rsidRPr="001A0E92">
        <w:t>12</w:t>
      </w:r>
      <w:r w:rsidRPr="001A0E92">
        <w:t>億歐元在斯國東部</w:t>
      </w:r>
      <w:r w:rsidRPr="001A0E92">
        <w:t>Kosice</w:t>
      </w:r>
      <w:r w:rsidRPr="001A0E92">
        <w:t>省</w:t>
      </w:r>
      <w:r w:rsidRPr="001A0E92">
        <w:t>Valaliky</w:t>
      </w:r>
      <w:r w:rsidRPr="001A0E92">
        <w:t>工業園區興建電動車組裝廠，預計於</w:t>
      </w:r>
      <w:r w:rsidRPr="001A0E92">
        <w:t>2026</w:t>
      </w:r>
      <w:r w:rsidRPr="001A0E92">
        <w:t>年量產，屆時斯國汽車工業將有五大車廠。斯國汽車產業群聚已相當成熟，汽車零組件市場具拓銷潛力，特別是電動車及車用電子方面應值大力開發。</w:t>
      </w:r>
    </w:p>
    <w:p w:rsidR="007D2C82" w:rsidRPr="001A0E92" w:rsidRDefault="00D73808" w:rsidP="00720093">
      <w:pPr>
        <w:pStyle w:val="afb"/>
        <w:ind w:left="1416" w:hanging="472"/>
      </w:pPr>
      <w:r w:rsidRPr="001A0E92">
        <w:t>２、</w:t>
      </w:r>
      <w:r w:rsidRPr="001A0E92">
        <w:tab/>
      </w:r>
      <w:r w:rsidR="00950597" w:rsidRPr="001A0E92">
        <w:t>節能產品：能源政策為斯國經濟部重點業務。所擬訂「斯國能源政策草案」規劃斯國</w:t>
      </w:r>
      <w:r w:rsidR="00950597" w:rsidRPr="001A0E92">
        <w:t>2035</w:t>
      </w:r>
      <w:r w:rsidR="00950597" w:rsidRPr="001A0E92">
        <w:t>年之能源發展架構及目標，致力發展斯國低碳且具競爭力之經濟體，並與匈牙利、波蘭及奧地利建立天然氣網絡。此外，斯國經濟部所轄創新能源局（</w:t>
      </w:r>
      <w:r w:rsidR="00950597" w:rsidRPr="001A0E92">
        <w:t>Slovak Innovation Energy Agency</w:t>
      </w:r>
      <w:r w:rsidR="00950597" w:rsidRPr="001A0E92">
        <w:t>，</w:t>
      </w:r>
      <w:r w:rsidR="00950597" w:rsidRPr="001A0E92">
        <w:t>SIEA</w:t>
      </w:r>
      <w:r w:rsidR="00950597" w:rsidRPr="001A0E92">
        <w:t>）並有綠色家庭計畫，提供家戶加裝再生能源裝置的補助經費，相關補助項目包含加裝家用太陽能裝置、熱水幫浦及生質能鍋爐等</w:t>
      </w:r>
      <w:r w:rsidR="007D2C82" w:rsidRPr="001A0E92">
        <w:rPr>
          <w:rFonts w:hint="eastAsia"/>
        </w:rPr>
        <w:t>。</w:t>
      </w:r>
    </w:p>
    <w:p w:rsidR="007D2C82" w:rsidRPr="001A0E92" w:rsidRDefault="007D2C82" w:rsidP="007D2C82">
      <w:pPr>
        <w:pStyle w:val="af8"/>
        <w:ind w:leftChars="0" w:firstLineChars="0" w:hanging="100"/>
      </w:pPr>
    </w:p>
    <w:p w:rsidR="007D2C82" w:rsidRPr="001A0E92" w:rsidRDefault="007D2C82" w:rsidP="007D2C82">
      <w:pPr>
        <w:pStyle w:val="af8"/>
        <w:ind w:leftChars="0" w:firstLineChars="0" w:hanging="100"/>
      </w:pPr>
    </w:p>
    <w:p w:rsidR="007D2C82" w:rsidRPr="001A0E92" w:rsidRDefault="007D2C82" w:rsidP="007D2C82">
      <w:pPr>
        <w:pStyle w:val="af8"/>
        <w:ind w:leftChars="0" w:firstLineChars="0" w:hanging="100"/>
      </w:pPr>
    </w:p>
    <w:p w:rsidR="00720093" w:rsidRPr="001A0E92" w:rsidRDefault="00720093" w:rsidP="007D2C82">
      <w:pPr>
        <w:pStyle w:val="af8"/>
        <w:ind w:leftChars="0" w:firstLineChars="0" w:hanging="100"/>
      </w:pPr>
    </w:p>
    <w:p w:rsidR="00720093" w:rsidRPr="001A0E92" w:rsidRDefault="00720093" w:rsidP="007D2C82">
      <w:pPr>
        <w:pStyle w:val="af8"/>
        <w:ind w:leftChars="0" w:firstLineChars="0" w:hanging="100"/>
      </w:pPr>
    </w:p>
    <w:p w:rsidR="00720093" w:rsidRPr="001A0E92" w:rsidRDefault="00720093" w:rsidP="007D2C82">
      <w:pPr>
        <w:pStyle w:val="af8"/>
        <w:ind w:leftChars="0" w:firstLineChars="0" w:hanging="100"/>
      </w:pPr>
    </w:p>
    <w:p w:rsidR="00720093" w:rsidRPr="001A0E92" w:rsidRDefault="00720093" w:rsidP="007D2C82">
      <w:pPr>
        <w:pStyle w:val="af8"/>
        <w:ind w:leftChars="0" w:firstLineChars="0" w:hanging="100"/>
      </w:pPr>
    </w:p>
    <w:p w:rsidR="007D2C82" w:rsidRPr="001A0E92" w:rsidRDefault="007D2C82" w:rsidP="007D2C82">
      <w:pPr>
        <w:pStyle w:val="af8"/>
        <w:ind w:leftChars="0" w:firstLineChars="0" w:hanging="100"/>
      </w:pPr>
    </w:p>
    <w:p w:rsidR="007D2C82" w:rsidRPr="001A0E92" w:rsidRDefault="007D2C82" w:rsidP="007D2C82">
      <w:pPr>
        <w:pStyle w:val="af8"/>
        <w:ind w:leftChars="0" w:firstLineChars="0" w:hanging="100"/>
      </w:pPr>
    </w:p>
    <w:p w:rsidR="007D2C82" w:rsidRPr="001A0E92" w:rsidRDefault="007D2C82" w:rsidP="007D2C82">
      <w:pPr>
        <w:pStyle w:val="af8"/>
        <w:ind w:leftChars="0" w:firstLineChars="0" w:hanging="100"/>
        <w:sectPr w:rsidR="007D2C82" w:rsidRPr="001A0E92" w:rsidSect="00D8781B">
          <w:headerReference w:type="default" r:id="rId30"/>
          <w:footerReference w:type="even" r:id="rId31"/>
          <w:footerReference w:type="default" r:id="rId32"/>
          <w:headerReference w:type="first" r:id="rId33"/>
          <w:footerReference w:type="first" r:id="rId34"/>
          <w:pgSz w:w="11906" w:h="16838"/>
          <w:pgMar w:top="2268" w:right="1701" w:bottom="1701" w:left="1701" w:header="1134" w:footer="851" w:gutter="0"/>
          <w:cols w:space="720"/>
          <w:docGrid w:type="linesAndChars" w:linePitch="514" w:charSpace="-819"/>
        </w:sectPr>
      </w:pPr>
    </w:p>
    <w:p w:rsidR="0032277D" w:rsidRPr="001A0E92" w:rsidRDefault="0032277D" w:rsidP="00933D73">
      <w:pPr>
        <w:pStyle w:val="af2"/>
        <w:spacing w:before="514" w:after="771"/>
      </w:pPr>
      <w:bookmarkStart w:id="8" w:name="_Toc19484724"/>
      <w:bookmarkStart w:id="9" w:name="_Toc145895373"/>
      <w:r w:rsidRPr="001A0E92">
        <w:t>第肆章  投資法規及程序</w:t>
      </w:r>
      <w:bookmarkEnd w:id="8"/>
      <w:bookmarkEnd w:id="9"/>
    </w:p>
    <w:p w:rsidR="0032277D" w:rsidRPr="001A0E92" w:rsidRDefault="0032277D" w:rsidP="00C54F2A">
      <w:pPr>
        <w:pStyle w:val="af3"/>
        <w:spacing w:before="257" w:after="257"/>
        <w:ind w:left="632" w:hanging="632"/>
        <w:rPr>
          <w:color w:val="auto"/>
        </w:rPr>
      </w:pPr>
      <w:r w:rsidRPr="001A0E92">
        <w:rPr>
          <w:color w:val="auto"/>
        </w:rPr>
        <w:t>一、主要投資法令</w:t>
      </w:r>
    </w:p>
    <w:p w:rsidR="00950597" w:rsidRPr="001A0E92" w:rsidRDefault="00950597" w:rsidP="00720093">
      <w:pPr>
        <w:pStyle w:val="a0"/>
        <w:ind w:firstLine="472"/>
      </w:pPr>
      <w:r w:rsidRPr="001A0E92">
        <w:t>斯洛伐克政府於</w:t>
      </w:r>
      <w:r w:rsidRPr="001A0E92">
        <w:t>1999</w:t>
      </w:r>
      <w:r w:rsidRPr="001A0E92">
        <w:t>年</w:t>
      </w:r>
      <w:r w:rsidRPr="001A0E92">
        <w:t>3</w:t>
      </w:r>
      <w:r w:rsidRPr="001A0E92">
        <w:t>月發布「鼓勵外人投資辦法」，奠定外人來斯國投資優惠措施的基礎，而隨著外人投資的逐漸增加及持續推動國營事業民營化等業務的需求，斯國因應現況接續修改其「國家補助法案」（</w:t>
      </w:r>
      <w:r w:rsidRPr="001A0E92">
        <w:t>State Aid Act</w:t>
      </w:r>
      <w:r w:rsidRPr="001A0E92">
        <w:t>，</w:t>
      </w:r>
      <w:r w:rsidRPr="001A0E92">
        <w:t>No.231/1999</w:t>
      </w:r>
      <w:r w:rsidRPr="001A0E92">
        <w:t>）等相關法規。另為健全有關外人投資優惠措施，斯國政府並先後於</w:t>
      </w:r>
      <w:r w:rsidRPr="001A0E92">
        <w:t>2001</w:t>
      </w:r>
      <w:r w:rsidRPr="001A0E92">
        <w:t>年及</w:t>
      </w:r>
      <w:r w:rsidRPr="001A0E92">
        <w:t>2004</w:t>
      </w:r>
      <w:r w:rsidRPr="001A0E92">
        <w:t>年通過「投資獎勵法」（</w:t>
      </w:r>
      <w:r w:rsidRPr="001A0E92">
        <w:t>Law on Investment Incentives</w:t>
      </w:r>
      <w:r w:rsidRPr="001A0E92">
        <w:t>，</w:t>
      </w:r>
      <w:r w:rsidRPr="001A0E92">
        <w:t>No.565/2001</w:t>
      </w:r>
      <w:r w:rsidRPr="001A0E92">
        <w:t>）及「就業服務法」（</w:t>
      </w:r>
      <w:r w:rsidRPr="001A0E92">
        <w:t>Law on Services for Employment</w:t>
      </w:r>
      <w:r w:rsidRPr="001A0E92">
        <w:t>，</w:t>
      </w:r>
      <w:r w:rsidRPr="001A0E92">
        <w:t>No.5/2004</w:t>
      </w:r>
      <w:r w:rsidRPr="001A0E92">
        <w:t>）兩項重大法案，提供外人申請國家直接或間接補助之依據。另為簡化投資獎助申請及核撥流程，斯國國會於</w:t>
      </w:r>
      <w:r w:rsidRPr="001A0E92">
        <w:t>2008</w:t>
      </w:r>
      <w:r w:rsidRPr="001A0E92">
        <w:t>年</w:t>
      </w:r>
      <w:r w:rsidRPr="001A0E92">
        <w:t>1</w:t>
      </w:r>
      <w:r w:rsidRPr="001A0E92">
        <w:t>月施行「投資優惠法」（</w:t>
      </w:r>
      <w:r w:rsidRPr="001A0E92">
        <w:t>Act on Investment Aid</w:t>
      </w:r>
      <w:r w:rsidRPr="001A0E92">
        <w:t>，</w:t>
      </w:r>
      <w:r w:rsidRPr="001A0E92">
        <w:t>No.561/2007</w:t>
      </w:r>
      <w:r w:rsidRPr="001A0E92">
        <w:t>），整併原有之「投資獎勵法」及「國家補助法案」。斯國政府另為均衡地區發展、提高生產附加價值及支持中小企業，於</w:t>
      </w:r>
      <w:r w:rsidRPr="001A0E92">
        <w:t>2011</w:t>
      </w:r>
      <w:r w:rsidRPr="001A0E92">
        <w:t>年</w:t>
      </w:r>
      <w:r w:rsidRPr="001A0E92">
        <w:t>8</w:t>
      </w:r>
      <w:r w:rsidRPr="001A0E92">
        <w:t>月通過「投資獎勵法修正案」，將投資門檻金額減半及將租稅優惠期由</w:t>
      </w:r>
      <w:r w:rsidRPr="001A0E92">
        <w:t>5</w:t>
      </w:r>
      <w:r w:rsidRPr="001A0E92">
        <w:t>年延長至</w:t>
      </w:r>
      <w:r w:rsidRPr="001A0E92">
        <w:t>10</w:t>
      </w:r>
      <w:r w:rsidRPr="001A0E92">
        <w:t>年。此外，配合歐盟國家區域補助指南（</w:t>
      </w:r>
      <w:r w:rsidRPr="001A0E92">
        <w:t>Guidelines on National Regional Aid</w:t>
      </w:r>
      <w:r w:rsidRPr="001A0E92">
        <w:t>），自</w:t>
      </w:r>
      <w:r w:rsidRPr="001A0E92">
        <w:t>2007</w:t>
      </w:r>
      <w:r w:rsidRPr="001A0E92">
        <w:t>年對外資核撥國家補助（</w:t>
      </w:r>
      <w:r w:rsidRPr="001A0E92">
        <w:t>State Aid</w:t>
      </w:r>
      <w:r w:rsidRPr="001A0E92">
        <w:t>）優惠措施。</w:t>
      </w:r>
    </w:p>
    <w:p w:rsidR="00950597" w:rsidRPr="001A0E92" w:rsidRDefault="00950597" w:rsidP="00720093">
      <w:pPr>
        <w:pStyle w:val="a0"/>
        <w:ind w:firstLine="472"/>
      </w:pPr>
      <w:r w:rsidRPr="001A0E92">
        <w:t>斯國議會於</w:t>
      </w:r>
      <w:r w:rsidRPr="001A0E92">
        <w:t>2023</w:t>
      </w:r>
      <w:r w:rsidRPr="001A0E92">
        <w:t>年</w:t>
      </w:r>
      <w:r w:rsidRPr="001A0E92">
        <w:t>2</w:t>
      </w:r>
      <w:r w:rsidRPr="001A0E92">
        <w:t>月</w:t>
      </w:r>
      <w:r w:rsidRPr="001A0E92">
        <w:t>22</w:t>
      </w:r>
      <w:r w:rsidRPr="001A0E92">
        <w:t>日批准新版「外人投資審查法」</w:t>
      </w:r>
      <w:r w:rsidR="004F0E9D" w:rsidRPr="001A0E92">
        <w:rPr>
          <w:rFonts w:hint="eastAsia"/>
        </w:rPr>
        <w:t>（</w:t>
      </w:r>
      <w:r w:rsidRPr="001A0E92">
        <w:t>The Foreign Investment Screening Act</w:t>
      </w:r>
      <w:r w:rsidRPr="001A0E92">
        <w:t>，</w:t>
      </w:r>
      <w:r w:rsidRPr="001A0E92">
        <w:t>No. 497/2022</w:t>
      </w:r>
      <w:r w:rsidR="004F0E9D" w:rsidRPr="001A0E92">
        <w:rPr>
          <w:rFonts w:hint="eastAsia"/>
        </w:rPr>
        <w:t>）</w:t>
      </w:r>
      <w:r w:rsidRPr="001A0E92">
        <w:t>，由斯國經濟部負責審查及監管關鍵特定領域之外人投資，自</w:t>
      </w:r>
      <w:r w:rsidRPr="001A0E92">
        <w:t>2023</w:t>
      </w:r>
      <w:r w:rsidRPr="001A0E92">
        <w:t>年</w:t>
      </w:r>
      <w:r w:rsidRPr="001A0E92">
        <w:t>3</w:t>
      </w:r>
      <w:r w:rsidRPr="001A0E92">
        <w:t>月</w:t>
      </w:r>
      <w:r w:rsidRPr="001A0E92">
        <w:t>1</w:t>
      </w:r>
      <w:r w:rsidRPr="001A0E92">
        <w:t>日生效。擬在斯國進行投資關鍵領域的歐盟以外的第三國</w:t>
      </w:r>
      <w:r w:rsidR="004F0E9D" w:rsidRPr="001A0E92">
        <w:rPr>
          <w:rFonts w:hint="eastAsia"/>
        </w:rPr>
        <w:t>（</w:t>
      </w:r>
      <w:r w:rsidRPr="001A0E92">
        <w:t>如</w:t>
      </w:r>
      <w:r w:rsidR="005A5E4E" w:rsidRPr="001A0E92">
        <w:t>臺灣</w:t>
      </w:r>
      <w:r w:rsidR="004F0E9D" w:rsidRPr="001A0E92">
        <w:rPr>
          <w:rFonts w:hint="eastAsia"/>
        </w:rPr>
        <w:t>）</w:t>
      </w:r>
      <w:r w:rsidRPr="001A0E92">
        <w:t>投資者，負有通知義務。倘歐盟投資者受第三國個人、實體、公部門之參股或資助，亦被視為外國投資者。斯政府於收到投資人通知後，將對該投資案進行強制審查。所有權人變更或外人投資股權增加，都須經政府核准方可執行。</w:t>
      </w:r>
    </w:p>
    <w:p w:rsidR="00950597" w:rsidRPr="001A0E92" w:rsidRDefault="00950597" w:rsidP="00720093">
      <w:pPr>
        <w:pStyle w:val="af3"/>
        <w:spacing w:before="257" w:after="257"/>
        <w:ind w:left="632" w:hanging="632"/>
        <w:rPr>
          <w:color w:val="auto"/>
        </w:rPr>
      </w:pPr>
      <w:r w:rsidRPr="001A0E92">
        <w:rPr>
          <w:color w:val="auto"/>
        </w:rPr>
        <w:t>二、投資申請之規定、程序、應準備文件及審查流程</w:t>
      </w:r>
    </w:p>
    <w:p w:rsidR="00950597" w:rsidRPr="001A0E92" w:rsidRDefault="00950597" w:rsidP="00720093">
      <w:pPr>
        <w:pStyle w:val="a0"/>
        <w:ind w:firstLine="472"/>
      </w:pPr>
      <w:r w:rsidRPr="001A0E92">
        <w:t>外國人來斯可以獨資或合夥方式在斯國從事商業活動，一般均是透過企業法人（即公司）方式進行。依照斯國商業法（</w:t>
      </w:r>
      <w:r w:rsidRPr="001A0E92">
        <w:t>Commercial Code, No. 513/1991</w:t>
      </w:r>
      <w:r w:rsidRPr="001A0E92">
        <w:t>）之規定，公司可以四種型式設立，包括一般合夥公司（</w:t>
      </w:r>
      <w:r w:rsidRPr="001A0E92">
        <w:t>General Commercial Partnership, v.o.s.</w:t>
      </w:r>
      <w:r w:rsidRPr="001A0E92">
        <w:t>）、有限合夥（</w:t>
      </w:r>
      <w:r w:rsidRPr="001A0E92">
        <w:t>Limited Partnership, k.s.</w:t>
      </w:r>
      <w:r w:rsidRPr="001A0E92">
        <w:t>）、有限公司（</w:t>
      </w:r>
      <w:r w:rsidRPr="001A0E92">
        <w:t>Limited Liability Company, s.r.o.</w:t>
      </w:r>
      <w:r w:rsidRPr="001A0E92">
        <w:t>）及股份有限公司（</w:t>
      </w:r>
      <w:r w:rsidRPr="001A0E92">
        <w:t>Joint Stock Company, a.s.</w:t>
      </w:r>
      <w:r w:rsidRPr="001A0E92">
        <w:t>）等。一般而言，外國人在斯國所設立之公司多屬有限公司（</w:t>
      </w:r>
      <w:r w:rsidRPr="001A0E92">
        <w:t>s.r.o.</w:t>
      </w:r>
      <w:r w:rsidRPr="001A0E92">
        <w:t>）及股份有限公司（</w:t>
      </w:r>
      <w:r w:rsidRPr="001A0E92">
        <w:t>a.s.</w:t>
      </w:r>
      <w:r w:rsidRPr="001A0E92">
        <w:t>），其中前者最低登記資本額（</w:t>
      </w:r>
      <w:r w:rsidRPr="001A0E92">
        <w:t>minimum registered capital</w:t>
      </w:r>
      <w:r w:rsidRPr="001A0E92">
        <w:t>）為</w:t>
      </w:r>
      <w:r w:rsidRPr="001A0E92">
        <w:t>5,000</w:t>
      </w:r>
      <w:r w:rsidRPr="001A0E92">
        <w:t>歐元，後者則為</w:t>
      </w:r>
      <w:r w:rsidRPr="001A0E92">
        <w:t>2</w:t>
      </w:r>
      <w:r w:rsidRPr="001A0E92">
        <w:t>萬</w:t>
      </w:r>
      <w:r w:rsidRPr="001A0E92">
        <w:t>5,000</w:t>
      </w:r>
      <w:r w:rsidRPr="001A0E92">
        <w:t>歐元。公司需於登記後始得營運。</w:t>
      </w:r>
    </w:p>
    <w:p w:rsidR="00950597" w:rsidRPr="001A0E92" w:rsidRDefault="00950597" w:rsidP="00720093">
      <w:pPr>
        <w:pStyle w:val="a0"/>
        <w:ind w:firstLine="472"/>
      </w:pPr>
      <w:r w:rsidRPr="001A0E92">
        <w:t>以斯國最普遍之有限公司為例，相關設立程序簡便，約一個月即可完成</w:t>
      </w:r>
      <w:r w:rsidRPr="001A0E92">
        <w:rPr>
          <w:rStyle w:val="a9"/>
          <w:kern w:val="0"/>
        </w:rPr>
        <w:footnoteReference w:id="3"/>
      </w:r>
      <w:r w:rsidRPr="001A0E92">
        <w:t>。其流程如下：</w:t>
      </w:r>
    </w:p>
    <w:p w:rsidR="00950597" w:rsidRPr="001A0E92" w:rsidRDefault="00950597" w:rsidP="00720093">
      <w:pPr>
        <w:pStyle w:val="af8"/>
        <w:ind w:left="944" w:hanging="708"/>
      </w:pPr>
      <w:r w:rsidRPr="001A0E92">
        <w:t>（一）備妥公司組織章程（</w:t>
      </w:r>
      <w:r w:rsidRPr="001A0E92">
        <w:t>Memorandum of Association/Founding Deed</w:t>
      </w:r>
      <w:r w:rsidRPr="001A0E92">
        <w:t>）：敘明公司名稱、從事商業活動項目、公司代表、股東人數等基本資料。有限公司執行董事（</w:t>
      </w:r>
      <w:r w:rsidRPr="001A0E92">
        <w:t>Executive Director</w:t>
      </w:r>
      <w:r w:rsidRPr="001A0E92">
        <w:t>）或創辦人（</w:t>
      </w:r>
      <w:r w:rsidRPr="001A0E92">
        <w:t>Founder</w:t>
      </w:r>
      <w:r w:rsidRPr="001A0E92">
        <w:t>）可為一人或多人，惟其簽名須經公證確認。</w:t>
      </w:r>
    </w:p>
    <w:p w:rsidR="00950597" w:rsidRPr="001A0E92" w:rsidRDefault="00950597" w:rsidP="00720093">
      <w:pPr>
        <w:pStyle w:val="af8"/>
        <w:ind w:left="944" w:hanging="708"/>
      </w:pPr>
      <w:r w:rsidRPr="001A0E92">
        <w:t>（二）取得交易執照（</w:t>
      </w:r>
      <w:r w:rsidRPr="001A0E92">
        <w:t>Trade License</w:t>
      </w:r>
      <w:r w:rsidRPr="001A0E92">
        <w:t>）：年滿</w:t>
      </w:r>
      <w:r w:rsidRPr="001A0E92">
        <w:t>18</w:t>
      </w:r>
      <w:r w:rsidRPr="001A0E92">
        <w:t>歲、無受法律上能力限制且最近</w:t>
      </w:r>
      <w:r w:rsidRPr="001A0E92">
        <w:t>3</w:t>
      </w:r>
      <w:r w:rsidRPr="001A0E92">
        <w:t>個月內無犯罪紀錄者可向斯國交易執照局（</w:t>
      </w:r>
      <w:r w:rsidRPr="001A0E92">
        <w:t>Trade Licensing Office</w:t>
      </w:r>
      <w:r w:rsidRPr="001A0E92">
        <w:t>）提出申請從事不受限制之交易活動（</w:t>
      </w:r>
      <w:r w:rsidRPr="001A0E92">
        <w:t>free activities</w:t>
      </w:r>
      <w:r w:rsidRPr="001A0E92">
        <w:t>）。申請時須註明公司所在地。通常提出申請</w:t>
      </w:r>
      <w:r w:rsidRPr="001A0E92">
        <w:t>7</w:t>
      </w:r>
      <w:r w:rsidRPr="001A0E92">
        <w:t>日內交易局即會核發執照。</w:t>
      </w:r>
    </w:p>
    <w:p w:rsidR="00E04D75" w:rsidRPr="001A0E92" w:rsidRDefault="00E04D75" w:rsidP="00720093">
      <w:pPr>
        <w:pStyle w:val="af8"/>
        <w:ind w:left="944" w:hanging="708"/>
      </w:pPr>
    </w:p>
    <w:p w:rsidR="00950597" w:rsidRPr="001A0E92" w:rsidRDefault="00950597" w:rsidP="00720093">
      <w:pPr>
        <w:pStyle w:val="af8"/>
        <w:ind w:left="944" w:hanging="708"/>
      </w:pPr>
      <w:r w:rsidRPr="001A0E92">
        <w:t>（三）公司登記：取得交易執照後可即向商業登記處（</w:t>
      </w:r>
      <w:r w:rsidRPr="001A0E92">
        <w:t>Commercial Register</w:t>
      </w:r>
      <w:r w:rsidRPr="001A0E92">
        <w:t>）申請公司登記。創辦人至少先繳交押金至少</w:t>
      </w:r>
      <w:r w:rsidRPr="001A0E92">
        <w:t>750</w:t>
      </w:r>
      <w:r w:rsidRPr="001A0E92">
        <w:t>歐元。登記之資本到位後</w:t>
      </w:r>
      <w:r w:rsidRPr="001A0E92">
        <w:t>5</w:t>
      </w:r>
      <w:r w:rsidRPr="001A0E92">
        <w:t>天內，法院將通過登記申請，並由登記處登錄。（上述登記程序及格式可逕至斯國法務部網站下載：</w:t>
      </w:r>
      <w:r w:rsidRPr="001A0E92">
        <w:t>http</w:t>
      </w:r>
      <w:r w:rsidRPr="001A0E92">
        <w:t>：</w:t>
      </w:r>
      <w:r w:rsidRPr="001A0E92">
        <w:t>//www.justice.gov.sk/kop/or/or.htm</w:t>
      </w:r>
      <w:r w:rsidRPr="001A0E92">
        <w:t>）</w:t>
      </w:r>
    </w:p>
    <w:p w:rsidR="00950597" w:rsidRPr="001A0E92" w:rsidRDefault="00950597" w:rsidP="00720093">
      <w:pPr>
        <w:pStyle w:val="af8"/>
        <w:ind w:left="944" w:hanging="708"/>
      </w:pPr>
      <w:r w:rsidRPr="001A0E92">
        <w:t>（四）繳稅登記：公司完成登記後</w:t>
      </w:r>
      <w:r w:rsidRPr="001A0E92">
        <w:t>30</w:t>
      </w:r>
      <w:r w:rsidRPr="001A0E92">
        <w:t>日內需向稅捐機關提出所得稅登記。其中加值稅（</w:t>
      </w:r>
      <w:r w:rsidRPr="001A0E92">
        <w:t>VAT</w:t>
      </w:r>
      <w:r w:rsidRPr="001A0E92">
        <w:t>）部分非屬強制登記，凡</w:t>
      </w:r>
      <w:r w:rsidRPr="001A0E92">
        <w:t>12</w:t>
      </w:r>
      <w:r w:rsidRPr="001A0E92">
        <w:t>個月內公司營業額不逾</w:t>
      </w:r>
      <w:r w:rsidRPr="001A0E92">
        <w:t>4</w:t>
      </w:r>
      <w:r w:rsidRPr="001A0E92">
        <w:t>萬</w:t>
      </w:r>
      <w:r w:rsidRPr="001A0E92">
        <w:t>9,790</w:t>
      </w:r>
      <w:r w:rsidRPr="001A0E92">
        <w:t>歐元者可不登錄。</w:t>
      </w:r>
    </w:p>
    <w:p w:rsidR="00950597" w:rsidRPr="001A0E92" w:rsidRDefault="00950597" w:rsidP="00720093">
      <w:pPr>
        <w:pStyle w:val="a0"/>
        <w:ind w:firstLine="472"/>
      </w:pPr>
      <w:r w:rsidRPr="001A0E92">
        <w:t>另斯洛伐克於</w:t>
      </w:r>
      <w:r w:rsidRPr="001A0E92">
        <w:t>2017</w:t>
      </w:r>
      <w:r w:rsidRPr="001A0E92">
        <w:t>年通過的新型公司態樣「簡單股份公司」（</w:t>
      </w:r>
      <w:r w:rsidRPr="001A0E92">
        <w:t>Simple Joint-Stock Company</w:t>
      </w:r>
      <w:r w:rsidRPr="001A0E92">
        <w:t>），特質為簡化公司設立流程及增加彈性，公司可於線上申請</w:t>
      </w:r>
      <w:r w:rsidRPr="001A0E92">
        <w:t>24</w:t>
      </w:r>
      <w:r w:rsidRPr="001A0E92">
        <w:t>小時內設立，不要求資本額，其股東會議及文件亦可以電子化進行，經法院許可，亦可以通過將資產和債務轉讓給指定的股東來進行解散，而無需清算程序。</w:t>
      </w:r>
    </w:p>
    <w:p w:rsidR="00950597" w:rsidRPr="001A0E92" w:rsidRDefault="00950597" w:rsidP="00720093">
      <w:pPr>
        <w:pStyle w:val="af3"/>
        <w:spacing w:before="257" w:after="257"/>
        <w:ind w:left="632" w:hanging="632"/>
        <w:rPr>
          <w:color w:val="auto"/>
        </w:rPr>
      </w:pPr>
      <w:r w:rsidRPr="001A0E92">
        <w:rPr>
          <w:color w:val="auto"/>
        </w:rPr>
        <w:t>三、投資相關機關</w:t>
      </w:r>
    </w:p>
    <w:p w:rsidR="00950597" w:rsidRPr="001A0E92" w:rsidRDefault="00950597" w:rsidP="00720093">
      <w:pPr>
        <w:pStyle w:val="a0"/>
        <w:ind w:firstLine="472"/>
      </w:pPr>
      <w:r w:rsidRPr="001A0E92">
        <w:t>斯國為吸引外人投資，促進經貿發展，於</w:t>
      </w:r>
      <w:r w:rsidRPr="001A0E92">
        <w:t>2001</w:t>
      </w:r>
      <w:r w:rsidRPr="001A0E92">
        <w:t>年</w:t>
      </w:r>
      <w:r w:rsidRPr="001A0E92">
        <w:t>10</w:t>
      </w:r>
      <w:r w:rsidRPr="001A0E92">
        <w:t>月在經濟部下成立斯洛伐克投資暨貿易發展局（</w:t>
      </w:r>
      <w:r w:rsidRPr="001A0E92">
        <w:t>Slovak Investment and Trade Development Agency, SARIO</w:t>
      </w:r>
      <w:r w:rsidRPr="001A0E92">
        <w:t>），主導爭取外人前來投資的相關策略與措施，並為處理外人前來斯國投資的單一窗口。</w:t>
      </w:r>
    </w:p>
    <w:p w:rsidR="00950597" w:rsidRPr="001A0E92" w:rsidRDefault="00950597" w:rsidP="00720093">
      <w:pPr>
        <w:pStyle w:val="a0"/>
        <w:ind w:firstLine="472"/>
      </w:pPr>
      <w:r w:rsidRPr="001A0E92">
        <w:t>該局設有局長及副局長各一名，直屬經濟部部長督導，其下並設有三個部門，其一為外人直接投資組（</w:t>
      </w:r>
      <w:r w:rsidRPr="001A0E92">
        <w:t>Foreign Direct Investment Section</w:t>
      </w:r>
      <w:r w:rsidRPr="001A0E92">
        <w:t>），其二為對外貿易組（</w:t>
      </w:r>
      <w:r w:rsidRPr="001A0E92">
        <w:t>Foreign Trade Section</w:t>
      </w:r>
      <w:r w:rsidRPr="001A0E92">
        <w:t>），其三為歐盟發展基金組（</w:t>
      </w:r>
      <w:r w:rsidRPr="001A0E92">
        <w:t>EU Structural Funds Section</w:t>
      </w:r>
      <w:r w:rsidRPr="001A0E92">
        <w:t>）。每組設置組長及副組長各乙名。其中外人直接投資組負責協助外人前來考察投資環境，協助聯絡尋找投資設廠地點，協助外人申請歐盟建設基金以及進行投資相關之後續協調聯絡工作。</w:t>
      </w:r>
    </w:p>
    <w:p w:rsidR="00950597" w:rsidRPr="001A0E92" w:rsidRDefault="00950597" w:rsidP="00720093">
      <w:pPr>
        <w:pStyle w:val="a0"/>
        <w:ind w:firstLine="472"/>
      </w:pPr>
      <w:r w:rsidRPr="001A0E92">
        <w:t>為加速外人前來斯國投資之作業流程，該局在斯國全境設有六個分局，職司該局與地方政府之協調工作。另為擴大爭取日本產業前來斯國投資，該局於</w:t>
      </w:r>
      <w:r w:rsidRPr="001A0E92">
        <w:t>2003</w:t>
      </w:r>
      <w:r w:rsidRPr="001A0E92">
        <w:t>年與日本海外投資局（</w:t>
      </w:r>
      <w:r w:rsidRPr="001A0E92">
        <w:t>Japanese Overseas Investment</w:t>
      </w:r>
      <w:r w:rsidRPr="001A0E92">
        <w:t>）簽訂合作協定，主動提供協助處理日本高科技公司就相關投資斯國所可能涉及之事宜進行事前評估及蒐集資訊。</w:t>
      </w:r>
    </w:p>
    <w:p w:rsidR="00950597" w:rsidRPr="001A0E92" w:rsidRDefault="00950597" w:rsidP="00720093">
      <w:pPr>
        <w:pStyle w:val="af3"/>
        <w:spacing w:before="257" w:after="257"/>
        <w:ind w:left="632" w:hanging="632"/>
        <w:rPr>
          <w:color w:val="auto"/>
        </w:rPr>
      </w:pPr>
      <w:r w:rsidRPr="001A0E92">
        <w:rPr>
          <w:color w:val="auto"/>
        </w:rPr>
        <w:t>四、投資獎勵措施</w:t>
      </w:r>
    </w:p>
    <w:p w:rsidR="00950597" w:rsidRPr="001A0E92" w:rsidRDefault="00950597" w:rsidP="00720093">
      <w:pPr>
        <w:pStyle w:val="a0"/>
        <w:ind w:firstLine="472"/>
      </w:pPr>
      <w:r w:rsidRPr="001A0E92">
        <w:t>根據《區域投資援助法》（</w:t>
      </w:r>
      <w:r w:rsidRPr="001A0E92">
        <w:t>2018</w:t>
      </w:r>
      <w:r w:rsidRPr="001A0E92">
        <w:t>），斯國政府將全國依失業率高低分為西部、中部及東部等三大區塊，投資失業率較高地區，所獲補助亦高；從事投資業別技術密集度愈大，可獲補助亦多。其中，西部地區〈包括</w:t>
      </w:r>
      <w:r w:rsidRPr="001A0E92">
        <w:t>Trnava</w:t>
      </w:r>
      <w:r w:rsidRPr="001A0E92">
        <w:t>、</w:t>
      </w:r>
      <w:r w:rsidRPr="001A0E92">
        <w:t>Trenčín</w:t>
      </w:r>
      <w:r w:rsidRPr="001A0E92">
        <w:t>及</w:t>
      </w:r>
      <w:r w:rsidRPr="001A0E92">
        <w:t>Nitra</w:t>
      </w:r>
      <w:r w:rsidRPr="001A0E92">
        <w:t>等三個自治區〉可適用之投資補助最高額度（</w:t>
      </w:r>
      <w:r w:rsidRPr="001A0E92">
        <w:t>maximum intensity of investment assistance</w:t>
      </w:r>
      <w:r w:rsidRPr="001A0E92">
        <w:t>）上限達投資總額之</w:t>
      </w:r>
      <w:r w:rsidRPr="001A0E92">
        <w:t>30%</w:t>
      </w:r>
      <w:r w:rsidRPr="001A0E92">
        <w:t>，中部及東部地區〈包括</w:t>
      </w:r>
      <w:r w:rsidRPr="001A0E92">
        <w:t>Banská Bystrica</w:t>
      </w:r>
      <w:r w:rsidRPr="001A0E92">
        <w:t>、</w:t>
      </w:r>
      <w:r w:rsidRPr="001A0E92">
        <w:t>Žilina</w:t>
      </w:r>
      <w:r w:rsidRPr="001A0E92">
        <w:t>〉為</w:t>
      </w:r>
      <w:r w:rsidRPr="001A0E92">
        <w:t>40%</w:t>
      </w:r>
      <w:r w:rsidRPr="001A0E92">
        <w:t>，</w:t>
      </w:r>
      <w:r w:rsidRPr="001A0E92">
        <w:t>Košice</w:t>
      </w:r>
      <w:r w:rsidRPr="001A0E92">
        <w:t>及</w:t>
      </w:r>
      <w:r w:rsidRPr="001A0E92">
        <w:t>Prešov</w:t>
      </w:r>
      <w:r w:rsidRPr="001A0E92">
        <w:t>地區可達</w:t>
      </w:r>
      <w:r w:rsidRPr="001A0E92">
        <w:t>50%</w:t>
      </w:r>
      <w:r w:rsidRPr="001A0E92">
        <w:t>。至於首府</w:t>
      </w:r>
      <w:r w:rsidRPr="001A0E92">
        <w:t>Bratislava</w:t>
      </w:r>
      <w:r w:rsidRPr="001A0E92">
        <w:t>自治區位於國土最西緣，因個人所得超過歐盟平均水準，不適用獎勵措施。</w:t>
      </w:r>
    </w:p>
    <w:p w:rsidR="00950597" w:rsidRPr="001A0E92" w:rsidRDefault="00950597" w:rsidP="00720093">
      <w:pPr>
        <w:pStyle w:val="a0"/>
        <w:ind w:firstLine="472"/>
      </w:pPr>
      <w:r w:rsidRPr="001A0E92">
        <w:t>斯國政府提供之國家補助，透過直接補助購買有形及無形資產（</w:t>
      </w:r>
      <w:r w:rsidRPr="001A0E92">
        <w:t>cash grant for tangible and intangible fixed assets</w:t>
      </w:r>
      <w:r w:rsidRPr="001A0E92">
        <w:t>）</w:t>
      </w:r>
      <w:r w:rsidRPr="001A0E92">
        <w:rPr>
          <w:rStyle w:val="a9"/>
          <w:kern w:val="0"/>
        </w:rPr>
        <w:footnoteReference w:id="4"/>
      </w:r>
      <w:r w:rsidRPr="001A0E92">
        <w:t>、</w:t>
      </w:r>
      <w:r w:rsidRPr="001A0E92">
        <w:t>10</w:t>
      </w:r>
      <w:r w:rsidRPr="001A0E92">
        <w:t>年所得賦稅減免（</w:t>
      </w:r>
      <w:r w:rsidRPr="001A0E92">
        <w:t>income tax relief</w:t>
      </w:r>
      <w:r w:rsidRPr="001A0E92">
        <w:t>）、</w:t>
      </w:r>
      <w:r w:rsidRPr="001A0E92">
        <w:t>2</w:t>
      </w:r>
      <w:r w:rsidRPr="001A0E92">
        <w:t>年就業補助（</w:t>
      </w:r>
      <w:r w:rsidRPr="001A0E92">
        <w:t>contribution to new jobs</w:t>
      </w:r>
      <w:r w:rsidRPr="001A0E92">
        <w:t>）及以低於市價之地權移轉（</w:t>
      </w:r>
      <w:r w:rsidRPr="001A0E92">
        <w:t>real and of estate discount</w:t>
      </w:r>
      <w:r w:rsidRPr="001A0E92">
        <w:t>）等方式進行。</w:t>
      </w:r>
    </w:p>
    <w:p w:rsidR="00950597" w:rsidRPr="001A0E92" w:rsidRDefault="00950597" w:rsidP="00720093">
      <w:pPr>
        <w:pStyle w:val="a0"/>
        <w:ind w:firstLine="472"/>
      </w:pPr>
      <w:r w:rsidRPr="001A0E92">
        <w:t>自</w:t>
      </w:r>
      <w:r w:rsidRPr="001A0E92">
        <w:t>2021</w:t>
      </w:r>
      <w:r w:rsidRPr="001A0E92">
        <w:t>年</w:t>
      </w:r>
      <w:r w:rsidRPr="001A0E92">
        <w:t>1</w:t>
      </w:r>
      <w:r w:rsidRPr="001A0E92">
        <w:t>月起生效的法案修正案放寬接受投資援助的條件，將完成投資項目工作的最長時間從</w:t>
      </w:r>
      <w:r w:rsidRPr="001A0E92">
        <w:t>3</w:t>
      </w:r>
      <w:r w:rsidRPr="001A0E92">
        <w:t>年增加到</w:t>
      </w:r>
      <w:r w:rsidRPr="001A0E92">
        <w:t>5</w:t>
      </w:r>
      <w:r w:rsidRPr="001A0E92">
        <w:t>年。</w:t>
      </w:r>
    </w:p>
    <w:p w:rsidR="00950597" w:rsidRPr="001A0E92" w:rsidRDefault="00950597" w:rsidP="00720093">
      <w:pPr>
        <w:pStyle w:val="a0"/>
        <w:ind w:firstLine="472"/>
      </w:pPr>
      <w:r w:rsidRPr="001A0E92">
        <w:t>為鼓勵高科技及研發產業進駐，適用投資優惠之四大產業類別及其申請條件如下：</w:t>
      </w:r>
    </w:p>
    <w:p w:rsidR="00950597" w:rsidRPr="001A0E92" w:rsidRDefault="00950597" w:rsidP="00720093">
      <w:pPr>
        <w:pStyle w:val="af8"/>
        <w:ind w:left="944" w:hanging="708"/>
      </w:pPr>
      <w:r w:rsidRPr="001A0E92">
        <w:t>（一）工業／製造業（</w:t>
      </w:r>
      <w:r w:rsidRPr="001A0E92">
        <w:t>Industrial production</w:t>
      </w:r>
      <w:r w:rsidRPr="001A0E92">
        <w:t>）</w:t>
      </w:r>
    </w:p>
    <w:p w:rsidR="00950597" w:rsidRPr="001A0E92" w:rsidRDefault="00950597" w:rsidP="00720093">
      <w:pPr>
        <w:pStyle w:val="af9"/>
        <w:ind w:left="944" w:firstLine="472"/>
      </w:pPr>
      <w:r w:rsidRPr="001A0E92">
        <w:t>舉凡興建新廠、擴建原廠、產品項目增加或變更及購併經營困難之公司等均屬之。投資額最少需達</w:t>
      </w:r>
      <w:r w:rsidRPr="001A0E92">
        <w:t>10</w:t>
      </w:r>
      <w:r w:rsidRPr="001A0E92">
        <w:t>萬歐元至</w:t>
      </w:r>
      <w:r w:rsidRPr="001A0E92">
        <w:t>600</w:t>
      </w:r>
      <w:r w:rsidRPr="001A0E92">
        <w:t>萬歐元不等，取決於企業所在地失業率及企業規模。</w:t>
      </w:r>
    </w:p>
    <w:p w:rsidR="00950597" w:rsidRPr="001A0E92" w:rsidRDefault="00950597" w:rsidP="00E04D75">
      <w:pPr>
        <w:pStyle w:val="af8"/>
        <w:ind w:left="944" w:hanging="708"/>
      </w:pPr>
      <w:r w:rsidRPr="001A0E92">
        <w:t>（二）技術中心（</w:t>
      </w:r>
      <w:r w:rsidRPr="001A0E92">
        <w:t>Technology Centers</w:t>
      </w:r>
      <w:r w:rsidRPr="001A0E92">
        <w:t>）</w:t>
      </w:r>
    </w:p>
    <w:p w:rsidR="00950597" w:rsidRPr="001A0E92" w:rsidRDefault="00950597" w:rsidP="00E04D75">
      <w:pPr>
        <w:pStyle w:val="af9"/>
        <w:ind w:left="944" w:firstLine="472"/>
      </w:pPr>
      <w:r w:rsidRPr="001A0E92">
        <w:t>係指因機械用具、電機</w:t>
      </w:r>
      <w:r w:rsidRPr="001A0E92">
        <w:t>/</w:t>
      </w:r>
      <w:r w:rsidRPr="001A0E92">
        <w:t>電子設備及光電機具（</w:t>
      </w:r>
      <w:r w:rsidRPr="001A0E92">
        <w:t>HS</w:t>
      </w:r>
      <w:r w:rsidRPr="001A0E92">
        <w:t>號列</w:t>
      </w:r>
      <w:r w:rsidRPr="001A0E92">
        <w:t>84</w:t>
      </w:r>
      <w:r w:rsidRPr="001A0E92">
        <w:t>、</w:t>
      </w:r>
      <w:r w:rsidRPr="001A0E92">
        <w:t>85</w:t>
      </w:r>
      <w:r w:rsidRPr="001A0E92">
        <w:t>及</w:t>
      </w:r>
      <w:r w:rsidRPr="001A0E92">
        <w:t>90</w:t>
      </w:r>
      <w:r w:rsidRPr="001A0E92">
        <w:t>章）等成品、製程及使用技術之改良或變更，所設立之新型技術中心或擴建現有之技術中心。投資額需達</w:t>
      </w:r>
      <w:r w:rsidRPr="001A0E92">
        <w:t>20</w:t>
      </w:r>
      <w:r w:rsidRPr="001A0E92">
        <w:t>萬歐元以上，創造</w:t>
      </w:r>
      <w:r w:rsidRPr="001A0E92">
        <w:t>20</w:t>
      </w:r>
      <w:r w:rsidRPr="001A0E92">
        <w:t>個新就業機會。</w:t>
      </w:r>
    </w:p>
    <w:p w:rsidR="00950597" w:rsidRPr="001A0E92" w:rsidRDefault="00950597" w:rsidP="00E04D75">
      <w:pPr>
        <w:pStyle w:val="af8"/>
        <w:ind w:left="944" w:hanging="708"/>
      </w:pPr>
      <w:r w:rsidRPr="001A0E92">
        <w:t>（三）共享服務業中心（</w:t>
      </w:r>
      <w:r w:rsidRPr="001A0E92">
        <w:t>Shared Service Centers</w:t>
      </w:r>
      <w:r w:rsidRPr="001A0E92">
        <w:t>）</w:t>
      </w:r>
    </w:p>
    <w:p w:rsidR="00950597" w:rsidRPr="001A0E92" w:rsidRDefault="00950597" w:rsidP="00E04D75">
      <w:pPr>
        <w:pStyle w:val="af9"/>
        <w:ind w:left="944" w:firstLine="472"/>
      </w:pPr>
      <w:r w:rsidRPr="001A0E92">
        <w:t>舉凡軟體開發中心、專案解決中心（</w:t>
      </w:r>
      <w:r w:rsidRPr="001A0E92">
        <w:t>expert solution</w:t>
      </w:r>
      <w:r w:rsidRPr="001A0E92">
        <w:t>）、高科技維修中心、客服中心及跨國企業總部等屬之。須創造</w:t>
      </w:r>
      <w:r w:rsidRPr="001A0E92">
        <w:t>50</w:t>
      </w:r>
      <w:r w:rsidRPr="001A0E92">
        <w:t>個新就業機會，但無最低投資額要求。</w:t>
      </w:r>
    </w:p>
    <w:p w:rsidR="00950597" w:rsidRPr="001A0E92" w:rsidRDefault="00950597" w:rsidP="00E04D75">
      <w:pPr>
        <w:pStyle w:val="af8"/>
        <w:ind w:left="944" w:hanging="708"/>
      </w:pPr>
      <w:r w:rsidRPr="001A0E92">
        <w:t>（四）商務服務中心（</w:t>
      </w:r>
      <w:r w:rsidRPr="001A0E92">
        <w:t>Business Service Center</w:t>
      </w:r>
      <w:r w:rsidRPr="001A0E92">
        <w:t>）</w:t>
      </w:r>
    </w:p>
    <w:p w:rsidR="00950597" w:rsidRPr="001A0E92" w:rsidRDefault="00950597" w:rsidP="00E04D75">
      <w:pPr>
        <w:pStyle w:val="af9"/>
        <w:ind w:left="944" w:firstLine="472"/>
      </w:pPr>
      <w:r w:rsidRPr="001A0E92">
        <w:t>依據領域分為優先領域及其他領域，優先領域最少創造</w:t>
      </w:r>
      <w:r w:rsidRPr="001A0E92">
        <w:t>10</w:t>
      </w:r>
      <w:r w:rsidRPr="001A0E92">
        <w:t>個新就業機會，最低須提供該區域平均薪資的</w:t>
      </w:r>
      <w:r w:rsidRPr="001A0E92">
        <w:t>1.8</w:t>
      </w:r>
      <w:r w:rsidRPr="001A0E92">
        <w:t>倍，最低投資金額為</w:t>
      </w:r>
      <w:r w:rsidRPr="001A0E92">
        <w:t>10</w:t>
      </w:r>
      <w:r w:rsidRPr="001A0E92">
        <w:t>萬歐元。其他領域最少創造</w:t>
      </w:r>
      <w:r w:rsidRPr="001A0E92">
        <w:t>25</w:t>
      </w:r>
      <w:r w:rsidRPr="001A0E92">
        <w:t>個新就業機會，最低須提供該區域平均薪資的</w:t>
      </w:r>
      <w:r w:rsidRPr="001A0E92">
        <w:t>1.5</w:t>
      </w:r>
      <w:r w:rsidRPr="001A0E92">
        <w:t>倍，無最低投資金額限制。</w:t>
      </w:r>
    </w:p>
    <w:p w:rsidR="00950597" w:rsidRPr="001A0E92" w:rsidRDefault="00950597" w:rsidP="00E04D75">
      <w:pPr>
        <w:pStyle w:val="af9"/>
        <w:ind w:left="944" w:firstLine="472"/>
      </w:pPr>
      <w:r w:rsidRPr="001A0E92">
        <w:t>為鼓勵企業進行研發，政府提供額外抵扣與研發相關的</w:t>
      </w:r>
      <w:r w:rsidRPr="001A0E92">
        <w:t>100%</w:t>
      </w:r>
      <w:r w:rsidRPr="001A0E92">
        <w:t>成本，無產業及區域限制，亦無需申請，將於納稅期間的納稅申報表中自動對其進行扣除。此外，另有專利獎勵（</w:t>
      </w:r>
      <w:r w:rsidRPr="001A0E92">
        <w:t>Patent box</w:t>
      </w:r>
      <w:r w:rsidRPr="001A0E92">
        <w:t>），該形式為科學研究活動之知識產權提供支持，方式為免徵企業所得稅（</w:t>
      </w:r>
      <w:r w:rsidRPr="001A0E92">
        <w:t>corporate income tax</w:t>
      </w:r>
      <w:r w:rsidRPr="001A0E92">
        <w:t>）。相關資訊請參考：</w:t>
      </w:r>
      <w:r w:rsidRPr="001A0E92">
        <w:t>  https ://superodpocet.sk/</w:t>
      </w:r>
    </w:p>
    <w:p w:rsidR="00B476DD" w:rsidRPr="001A0E92" w:rsidRDefault="00950597" w:rsidP="00E04D75">
      <w:pPr>
        <w:pStyle w:val="af9"/>
        <w:kinsoku w:val="0"/>
        <w:wordWrap w:val="0"/>
        <w:ind w:left="944" w:firstLine="472"/>
      </w:pPr>
      <w:r w:rsidRPr="001A0E92">
        <w:t>在申請投資獎勵優惠上，廠商可根據《區域投資援助法》第</w:t>
      </w:r>
      <w:r w:rsidRPr="001A0E92">
        <w:t>14</w:t>
      </w:r>
      <w:r w:rsidRPr="001A0E92">
        <w:t>條提出的投資獎勵申請，所需填列文件可至斯國經濟部網站下載</w:t>
      </w:r>
      <w:r w:rsidRPr="001A0E92">
        <w:t>https://www.mhsr.sk/podpora-investicii/podpora-investicii/investicna-pomoc/ziadost-o-investicnupomoc.</w:t>
      </w:r>
      <w:r w:rsidRPr="001A0E92">
        <w:t>（</w:t>
      </w:r>
      <w:r w:rsidRPr="001A0E92">
        <w:t>APPLICATION FOR INVESTMENT AID</w:t>
      </w:r>
      <w:r w:rsidRPr="001A0E92">
        <w:t>），所需資訊包括公司基本資訊、投資計畫及類別、時間表、成本評估、資金來源、員工人數、地點、環境保護規劃等資訊</w:t>
      </w:r>
      <w:r w:rsidR="00B476DD" w:rsidRPr="001A0E92">
        <w:rPr>
          <w:rFonts w:hint="eastAsia"/>
        </w:rPr>
        <w:t>。</w:t>
      </w:r>
    </w:p>
    <w:p w:rsidR="0032277D" w:rsidRPr="001A0E92" w:rsidRDefault="0032277D" w:rsidP="00D73808">
      <w:pPr>
        <w:pStyle w:val="af9"/>
        <w:ind w:left="944" w:firstLine="472"/>
      </w:pPr>
    </w:p>
    <w:p w:rsidR="004F23C5" w:rsidRPr="001A0E92" w:rsidRDefault="004F23C5" w:rsidP="00D73808">
      <w:pPr>
        <w:pStyle w:val="af9"/>
        <w:ind w:left="944" w:firstLine="472"/>
      </w:pPr>
    </w:p>
    <w:p w:rsidR="0032277D" w:rsidRPr="001A0E92" w:rsidRDefault="0032277D">
      <w:pPr>
        <w:sectPr w:rsidR="0032277D" w:rsidRPr="001A0E92" w:rsidSect="00D8781B">
          <w:headerReference w:type="default" r:id="rId35"/>
          <w:footerReference w:type="even" r:id="rId36"/>
          <w:footerReference w:type="default" r:id="rId37"/>
          <w:headerReference w:type="first" r:id="rId38"/>
          <w:footerReference w:type="first" r:id="rId39"/>
          <w:pgSz w:w="11906" w:h="16838"/>
          <w:pgMar w:top="2268" w:right="1701" w:bottom="1701" w:left="1701" w:header="1134" w:footer="851" w:gutter="0"/>
          <w:cols w:space="720"/>
          <w:docGrid w:type="linesAndChars" w:linePitch="514" w:charSpace="-819"/>
        </w:sectPr>
      </w:pPr>
    </w:p>
    <w:p w:rsidR="0032277D" w:rsidRPr="001A0E92" w:rsidRDefault="0032277D" w:rsidP="00933D73">
      <w:pPr>
        <w:pStyle w:val="af2"/>
        <w:spacing w:before="514" w:after="771"/>
      </w:pPr>
      <w:bookmarkStart w:id="10" w:name="_Toc19484725"/>
      <w:bookmarkStart w:id="11" w:name="_Toc145895374"/>
      <w:r w:rsidRPr="001A0E92">
        <w:t>第伍章  租稅及金融制度</w:t>
      </w:r>
      <w:bookmarkEnd w:id="10"/>
      <w:bookmarkEnd w:id="11"/>
    </w:p>
    <w:p w:rsidR="0032277D" w:rsidRPr="001A0E92" w:rsidRDefault="0032277D">
      <w:pPr>
        <w:pStyle w:val="af3"/>
        <w:spacing w:before="257" w:after="257"/>
        <w:ind w:left="632" w:hanging="632"/>
        <w:rPr>
          <w:color w:val="auto"/>
        </w:rPr>
      </w:pPr>
      <w:r w:rsidRPr="001A0E92">
        <w:rPr>
          <w:color w:val="auto"/>
        </w:rPr>
        <w:t>一、租稅</w:t>
      </w:r>
    </w:p>
    <w:p w:rsidR="00950597" w:rsidRPr="001A0E92" w:rsidRDefault="00950597" w:rsidP="00E04D75">
      <w:pPr>
        <w:pStyle w:val="a0"/>
        <w:ind w:firstLine="472"/>
      </w:pPr>
      <w:r w:rsidRPr="001A0E92">
        <w:t>斯洛伐克目前所課稅賦種類計有個人所得稅、公司執照及營業所得稅、營業加值稅、菸酒及燃料稅、房地稅、汽機車稅、印花稅以及地稅等。遺產稅、贈予稅、房地產過戶稅均已廢止。</w:t>
      </w:r>
    </w:p>
    <w:p w:rsidR="00950597" w:rsidRPr="001A0E92" w:rsidRDefault="00E04D75" w:rsidP="00E04D75">
      <w:pPr>
        <w:pStyle w:val="af8"/>
        <w:ind w:left="944" w:hanging="708"/>
      </w:pPr>
      <w:r w:rsidRPr="001A0E92">
        <w:rPr>
          <w:rFonts w:hint="eastAsia"/>
        </w:rPr>
        <w:t>（一）</w:t>
      </w:r>
      <w:r w:rsidR="00950597" w:rsidRPr="001A0E92">
        <w:t>所得稅及公司營所稅：現行公司營所稅之稅率為</w:t>
      </w:r>
      <w:r w:rsidR="00950597" w:rsidRPr="001A0E92">
        <w:t>21%</w:t>
      </w:r>
      <w:r w:rsidR="00950597" w:rsidRPr="001A0E92">
        <w:t>；</w:t>
      </w:r>
      <w:r w:rsidR="00950597" w:rsidRPr="001A0E92">
        <w:t>2022</w:t>
      </w:r>
      <w:r w:rsidR="00950597" w:rsidRPr="001A0E92">
        <w:t>年</w:t>
      </w:r>
      <w:r w:rsidR="00950597" w:rsidRPr="001A0E92">
        <w:t>1</w:t>
      </w:r>
      <w:r w:rsidR="00950597" w:rsidRPr="001A0E92">
        <w:t>月</w:t>
      </w:r>
      <w:r w:rsidR="00950597" w:rsidRPr="001A0E92">
        <w:t>1</w:t>
      </w:r>
      <w:r w:rsidR="00950597" w:rsidRPr="001A0E92">
        <w:t>日起，倘企業於納稅期間收入不超過</w:t>
      </w:r>
      <w:r w:rsidR="00950597" w:rsidRPr="001A0E92">
        <w:t>49,790</w:t>
      </w:r>
      <w:r w:rsidR="00950597" w:rsidRPr="001A0E92">
        <w:t>歐元者，可適用</w:t>
      </w:r>
      <w:r w:rsidR="00950597" w:rsidRPr="001A0E92">
        <w:t>15%</w:t>
      </w:r>
      <w:r w:rsidR="00950597" w:rsidRPr="001A0E92">
        <w:t>的稅率。另自</w:t>
      </w:r>
      <w:r w:rsidR="00950597" w:rsidRPr="001A0E92">
        <w:t>2017</w:t>
      </w:r>
      <w:r w:rsidR="00950597" w:rsidRPr="001A0E92">
        <w:t>年</w:t>
      </w:r>
      <w:r w:rsidR="00950597" w:rsidRPr="001A0E92">
        <w:t>1</w:t>
      </w:r>
      <w:r w:rsidR="00950597" w:rsidRPr="001A0E92">
        <w:t>月</w:t>
      </w:r>
      <w:r w:rsidR="00950597" w:rsidRPr="001A0E92">
        <w:t>1</w:t>
      </w:r>
      <w:r w:rsidR="00950597" w:rsidRPr="001A0E92">
        <w:t>日起，公司支付個人股利，須課徵稅</w:t>
      </w:r>
      <w:r w:rsidR="00950597" w:rsidRPr="001A0E92">
        <w:t>7%</w:t>
      </w:r>
      <w:r w:rsidR="00950597" w:rsidRPr="001A0E92">
        <w:rPr>
          <w:rStyle w:val="a9"/>
          <w:kern w:val="0"/>
          <w:szCs w:val="20"/>
        </w:rPr>
        <w:footnoteReference w:id="5"/>
      </w:r>
      <w:r w:rsidR="00950597" w:rsidRPr="001A0E92">
        <w:rPr>
          <w:rFonts w:ascii="標楷體" w:eastAsia="標楷體" w:hAnsi="標楷體"/>
        </w:rPr>
        <w:t>。</w:t>
      </w:r>
    </w:p>
    <w:p w:rsidR="00950597" w:rsidRPr="001A0E92" w:rsidRDefault="00E04D75" w:rsidP="00E04D75">
      <w:pPr>
        <w:pStyle w:val="af8"/>
        <w:ind w:left="944" w:hanging="708"/>
      </w:pPr>
      <w:r w:rsidRPr="001A0E92">
        <w:t>（</w:t>
      </w:r>
      <w:r w:rsidRPr="001A0E92">
        <w:rPr>
          <w:rFonts w:hint="eastAsia"/>
        </w:rPr>
        <w:t>二）</w:t>
      </w:r>
      <w:r w:rsidR="00950597" w:rsidRPr="001A0E92">
        <w:t>個人所得稅及各種預扣稅</w:t>
      </w:r>
      <w:r w:rsidR="00950597" w:rsidRPr="001A0E92">
        <w:rPr>
          <w:rStyle w:val="a9"/>
          <w:kern w:val="0"/>
          <w:szCs w:val="20"/>
        </w:rPr>
        <w:footnoteReference w:id="6"/>
      </w:r>
      <w:r w:rsidR="00950597" w:rsidRPr="001A0E92">
        <w:t>：</w:t>
      </w:r>
    </w:p>
    <w:p w:rsidR="00950597" w:rsidRPr="001A0E92" w:rsidRDefault="00E04D75" w:rsidP="00E04D75">
      <w:pPr>
        <w:pStyle w:val="afb"/>
        <w:ind w:left="1416" w:hanging="472"/>
      </w:pPr>
      <w:r w:rsidRPr="001A0E92">
        <w:t>１</w:t>
      </w:r>
      <w:r w:rsidRPr="001A0E92">
        <w:rPr>
          <w:rFonts w:hint="eastAsia"/>
        </w:rPr>
        <w:t>、</w:t>
      </w:r>
      <w:r w:rsidR="00950597" w:rsidRPr="001A0E92">
        <w:t>個人年所得低於</w:t>
      </w:r>
      <w:r w:rsidR="00950597" w:rsidRPr="001A0E92">
        <w:t>38,553.01</w:t>
      </w:r>
      <w:r w:rsidR="00950597" w:rsidRPr="001A0E92">
        <w:t>歐元者，稅率為</w:t>
      </w:r>
      <w:r w:rsidR="00950597" w:rsidRPr="001A0E92">
        <w:t>19%</w:t>
      </w:r>
      <w:r w:rsidR="00950597" w:rsidRPr="001A0E92">
        <w:t>，高於</w:t>
      </w:r>
      <w:r w:rsidR="00950597" w:rsidRPr="001A0E92">
        <w:t>38,553.01</w:t>
      </w:r>
      <w:r w:rsidR="00950597" w:rsidRPr="001A0E92">
        <w:t>歐元者，稅率</w:t>
      </w:r>
      <w:r w:rsidR="00950597" w:rsidRPr="001A0E92">
        <w:t>25%</w:t>
      </w:r>
      <w:r w:rsidR="00950597" w:rsidRPr="001A0E92">
        <w:t>。此外，自營商（</w:t>
      </w:r>
      <w:r w:rsidR="00950597" w:rsidRPr="001A0E92">
        <w:t>Individual entrepreneur</w:t>
      </w:r>
      <w:r w:rsidR="00950597" w:rsidRPr="001A0E92">
        <w:t>）年度免稅額為</w:t>
      </w:r>
      <w:r w:rsidR="00950597" w:rsidRPr="001A0E92">
        <w:t>2</w:t>
      </w:r>
      <w:r w:rsidR="00950597" w:rsidRPr="001A0E92">
        <w:t>萬歐元（或收入總額</w:t>
      </w:r>
      <w:r w:rsidR="00950597" w:rsidRPr="001A0E92">
        <w:t>60%</w:t>
      </w:r>
      <w:r w:rsidR="00950597" w:rsidRPr="001A0E92">
        <w:t>）</w:t>
      </w:r>
    </w:p>
    <w:p w:rsidR="00950597" w:rsidRPr="001A0E92" w:rsidRDefault="00E04D75" w:rsidP="00E04D75">
      <w:pPr>
        <w:pStyle w:val="afb"/>
        <w:ind w:left="1416" w:hanging="472"/>
      </w:pPr>
      <w:r w:rsidRPr="001A0E92">
        <w:t>２</w:t>
      </w:r>
      <w:r w:rsidRPr="001A0E92">
        <w:rPr>
          <w:rFonts w:hint="eastAsia"/>
        </w:rPr>
        <w:t>、</w:t>
      </w:r>
      <w:r w:rsidR="00950597" w:rsidRPr="001A0E92">
        <w:t>旅居斯國之外國人預扣稅率（</w:t>
      </w:r>
      <w:r w:rsidR="00950597" w:rsidRPr="001A0E92">
        <w:t>withholding tax</w:t>
      </w:r>
      <w:r w:rsidR="00950597" w:rsidRPr="001A0E92">
        <w:t>）：自</w:t>
      </w:r>
      <w:r w:rsidR="00950597" w:rsidRPr="001A0E92">
        <w:t>2014</w:t>
      </w:r>
      <w:r w:rsidR="00950597" w:rsidRPr="001A0E92">
        <w:t>年</w:t>
      </w:r>
      <w:r w:rsidR="00950597" w:rsidRPr="001A0E92">
        <w:t>3</w:t>
      </w:r>
      <w:r w:rsidR="00950597" w:rsidRPr="001A0E92">
        <w:t>月</w:t>
      </w:r>
      <w:r w:rsidR="00950597" w:rsidRPr="001A0E92">
        <w:t>1</w:t>
      </w:r>
      <w:r w:rsidR="00950597" w:rsidRPr="001A0E92">
        <w:t>日起，斯國對非避免雙重課稅之締約國之外國人薪資課徵</w:t>
      </w:r>
      <w:r w:rsidR="00950597" w:rsidRPr="001A0E92">
        <w:t>35%</w:t>
      </w:r>
      <w:r w:rsidR="00950597" w:rsidRPr="001A0E92">
        <w:t>所得稅，適用於居住在斯國超過</w:t>
      </w:r>
      <w:r w:rsidR="00950597" w:rsidRPr="001A0E92">
        <w:t>183</w:t>
      </w:r>
      <w:r w:rsidR="00950597" w:rsidRPr="001A0E92">
        <w:t>天之外國人</w:t>
      </w:r>
      <w:r w:rsidR="004F0E9D" w:rsidRPr="001A0E92">
        <w:t>（</w:t>
      </w:r>
      <w:r w:rsidR="00950597" w:rsidRPr="001A0E92">
        <w:t>按斯國已與我國等</w:t>
      </w:r>
      <w:r w:rsidR="00950597" w:rsidRPr="001A0E92">
        <w:t>60</w:t>
      </w:r>
      <w:r w:rsidR="00950597" w:rsidRPr="001A0E92">
        <w:t>餘國簽有「避免所得稅雙重課稅協定」</w:t>
      </w:r>
      <w:r w:rsidR="004F0E9D" w:rsidRPr="001A0E92">
        <w:t>）</w:t>
      </w:r>
    </w:p>
    <w:p w:rsidR="00950597" w:rsidRPr="001A0E92" w:rsidRDefault="00950597" w:rsidP="00E04D75">
      <w:pPr>
        <w:pStyle w:val="af8"/>
        <w:ind w:left="944" w:hanging="708"/>
      </w:pPr>
      <w:r w:rsidRPr="001A0E92">
        <w:t>（三）加值稅（</w:t>
      </w:r>
      <w:r w:rsidRPr="001A0E92">
        <w:t>VAT</w:t>
      </w:r>
      <w:r w:rsidRPr="001A0E92">
        <w:t>）：公司年營業額（連續</w:t>
      </w:r>
      <w:r w:rsidRPr="001A0E92">
        <w:t>12</w:t>
      </w:r>
      <w:r w:rsidRPr="001A0E92">
        <w:t>個月）超過</w:t>
      </w:r>
      <w:r w:rsidRPr="001A0E92">
        <w:t>49,790</w:t>
      </w:r>
      <w:r w:rsidRPr="001A0E92">
        <w:t>歐元者必須辦理加值稅登記；加值稅或銷售稅則依不同貨品或服務類別予以課徵，多數貨品及勞務均課徵</w:t>
      </w:r>
      <w:r w:rsidRPr="001A0E92">
        <w:t>20%</w:t>
      </w:r>
      <w:r w:rsidRPr="001A0E92">
        <w:t>；圖書及多數醫療服務及產品（藥品或器具）課徵</w:t>
      </w:r>
      <w:r w:rsidRPr="001A0E92">
        <w:t>10%</w:t>
      </w:r>
      <w:r w:rsidRPr="001A0E92">
        <w:t>；金融服務及保險服務免課徵加值稅。</w:t>
      </w:r>
    </w:p>
    <w:p w:rsidR="00950597" w:rsidRPr="001A0E92" w:rsidRDefault="00950597" w:rsidP="00E04D75">
      <w:pPr>
        <w:pStyle w:val="af8"/>
        <w:ind w:left="944" w:hanging="708"/>
      </w:pPr>
      <w:r w:rsidRPr="001A0E92">
        <w:t>（四）房地稅：包括土地稅、建築稅及房屋稅，土地稅依地區政府土地估價之基準課徵</w:t>
      </w:r>
      <w:r w:rsidRPr="001A0E92">
        <w:t>0.25%</w:t>
      </w:r>
      <w:r w:rsidRPr="001A0E92">
        <w:t>；建築稅每年應納稅金額為建築物所占土地面積</w:t>
      </w:r>
      <w:r w:rsidRPr="001A0E92">
        <w:t>*0.033</w:t>
      </w:r>
      <w:r w:rsidRPr="001A0E92">
        <w:t>歐元</w:t>
      </w:r>
      <w:r w:rsidRPr="001A0E92">
        <w:t>/</w:t>
      </w:r>
      <w:r w:rsidRPr="001A0E92">
        <w:t>每平方公尺，對高樓層建築物，可按每層加徵建築稅，加徵額最高為</w:t>
      </w:r>
      <w:r w:rsidRPr="001A0E92">
        <w:t>0.33</w:t>
      </w:r>
      <w:r w:rsidRPr="001A0E92">
        <w:t>歐元</w:t>
      </w:r>
      <w:r w:rsidRPr="001A0E92">
        <w:t>/</w:t>
      </w:r>
      <w:r w:rsidRPr="001A0E92">
        <w:t>每層；房屋稅則依建築物之建地使用面積，每平方公尺課徵</w:t>
      </w:r>
      <w:r w:rsidRPr="001A0E92">
        <w:t>0.033</w:t>
      </w:r>
      <w:r w:rsidRPr="001A0E92">
        <w:t>歐元，課徵稅率則依地方政府規定。</w:t>
      </w:r>
    </w:p>
    <w:p w:rsidR="00950597" w:rsidRPr="001A0E92" w:rsidRDefault="00950597" w:rsidP="00E04D75">
      <w:pPr>
        <w:pStyle w:val="af8"/>
        <w:ind w:left="944" w:hanging="708"/>
      </w:pPr>
      <w:r w:rsidRPr="001A0E92">
        <w:t>（五）貨物稅：特定商品另課徵貨物稅，包括烈酒、葡萄酒、啤酒、菸品、電、煤炭、天然瓦斯、礦物油品。</w:t>
      </w:r>
    </w:p>
    <w:p w:rsidR="00950597" w:rsidRPr="001A0E92" w:rsidRDefault="00950597" w:rsidP="00E04D75">
      <w:pPr>
        <w:pStyle w:val="af8"/>
        <w:ind w:left="944" w:hanging="708"/>
      </w:pPr>
      <w:r w:rsidRPr="001A0E92">
        <w:t>（六）其他特定產品稅：汽機車之路稅。自</w:t>
      </w:r>
      <w:r w:rsidRPr="001A0E92">
        <w:t>2017</w:t>
      </w:r>
      <w:r w:rsidRPr="001A0E92">
        <w:t>年課徵汽車登記稅：依據引擎大小課徵</w:t>
      </w:r>
      <w:r w:rsidRPr="001A0E92">
        <w:t>33</w:t>
      </w:r>
      <w:r w:rsidRPr="001A0E92">
        <w:t>歐元至</w:t>
      </w:r>
      <w:r w:rsidRPr="001A0E92">
        <w:t>3,900</w:t>
      </w:r>
      <w:r w:rsidRPr="001A0E92">
        <w:t>歐元不等。</w:t>
      </w:r>
    </w:p>
    <w:p w:rsidR="00950597" w:rsidRPr="001A0E92" w:rsidRDefault="00950597" w:rsidP="00E04D75">
      <w:pPr>
        <w:pStyle w:val="af8"/>
        <w:ind w:left="944" w:hanging="708"/>
      </w:pPr>
      <w:r w:rsidRPr="001A0E92">
        <w:t>（七）課徵</w:t>
      </w:r>
      <w:r w:rsidRPr="001A0E92">
        <w:t>7%</w:t>
      </w:r>
      <w:r w:rsidRPr="001A0E92">
        <w:t>股利所得稅（</w:t>
      </w:r>
      <w:r w:rsidRPr="001A0E92">
        <w:t>dividend tax</w:t>
      </w:r>
      <w:r w:rsidRPr="001A0E92">
        <w:t>）</w:t>
      </w:r>
      <w:r w:rsidRPr="001A0E92">
        <w:rPr>
          <w:rStyle w:val="a9"/>
          <w:kern w:val="0"/>
          <w:szCs w:val="20"/>
        </w:rPr>
        <w:footnoteReference w:id="7"/>
      </w:r>
      <w:r w:rsidRPr="001A0E92">
        <w:t>。</w:t>
      </w:r>
    </w:p>
    <w:p w:rsidR="00950597" w:rsidRPr="001A0E92" w:rsidRDefault="00950597" w:rsidP="00E04D75">
      <w:pPr>
        <w:pStyle w:val="af8"/>
        <w:ind w:left="944" w:hanging="708"/>
      </w:pPr>
      <w:r w:rsidRPr="001A0E92">
        <w:t>（八）其他重要稅法之修訂情形包括：</w:t>
      </w:r>
    </w:p>
    <w:p w:rsidR="00950597" w:rsidRPr="001A0E92" w:rsidRDefault="00E04D75" w:rsidP="00E04D75">
      <w:pPr>
        <w:pStyle w:val="afb"/>
        <w:ind w:left="1416" w:hanging="472"/>
      </w:pPr>
      <w:r w:rsidRPr="001A0E92">
        <w:t>１</w:t>
      </w:r>
      <w:r w:rsidRPr="001A0E92">
        <w:rPr>
          <w:rFonts w:hint="eastAsia"/>
        </w:rPr>
        <w:t>、</w:t>
      </w:r>
      <w:r w:rsidR="00950597" w:rsidRPr="001A0E92">
        <w:t>據自</w:t>
      </w:r>
      <w:r w:rsidR="00950597" w:rsidRPr="001A0E92">
        <w:t>2020</w:t>
      </w:r>
      <w:r w:rsidR="00950597" w:rsidRPr="001A0E92">
        <w:t>年</w:t>
      </w:r>
      <w:r w:rsidR="00950597" w:rsidRPr="001A0E92">
        <w:t>12</w:t>
      </w:r>
      <w:r w:rsidR="00950597" w:rsidRPr="001A0E92">
        <w:t>月</w:t>
      </w:r>
      <w:r w:rsidR="00950597" w:rsidRPr="001A0E92">
        <w:t>30</w:t>
      </w:r>
      <w:r w:rsidR="00950597" w:rsidRPr="001A0E92">
        <w:t>日起生效的《所得稅法》（</w:t>
      </w:r>
      <w:r w:rsidR="00950597" w:rsidRPr="001A0E92">
        <w:t>ITA</w:t>
      </w:r>
      <w:r w:rsidR="00950597" w:rsidRPr="001A0E92">
        <w:t>）修正案，收入不超過不超過</w:t>
      </w:r>
      <w:r w:rsidR="00950597" w:rsidRPr="001A0E92">
        <w:t>49,790</w:t>
      </w:r>
      <w:r w:rsidR="00950597" w:rsidRPr="001A0E92">
        <w:t>歐元的企業，適用</w:t>
      </w:r>
      <w:r w:rsidR="00950597" w:rsidRPr="001A0E92">
        <w:t>15%</w:t>
      </w:r>
      <w:r w:rsidR="00950597" w:rsidRPr="001A0E92">
        <w:t>的稅率</w:t>
      </w:r>
      <w:r w:rsidR="004F0E9D" w:rsidRPr="001A0E92">
        <w:t>（</w:t>
      </w:r>
      <w:r w:rsidR="00950597" w:rsidRPr="001A0E92">
        <w:t>Corporate tax</w:t>
      </w:r>
      <w:r w:rsidR="004F0E9D" w:rsidRPr="001A0E92">
        <w:t>）</w:t>
      </w:r>
      <w:r w:rsidR="00950597" w:rsidRPr="001A0E92">
        <w:t>。另營利事業受控外國公司（</w:t>
      </w:r>
      <w:r w:rsidR="00950597" w:rsidRPr="001A0E92">
        <w:t>CFC</w:t>
      </w:r>
      <w:r w:rsidR="00950597" w:rsidRPr="001A0E92">
        <w:t>）的稅收規則將擴大到自然人，以防止逃漏稅。</w:t>
      </w:r>
    </w:p>
    <w:p w:rsidR="00950597" w:rsidRPr="001A0E92" w:rsidRDefault="00E04D75" w:rsidP="00E04D75">
      <w:pPr>
        <w:pStyle w:val="afb"/>
        <w:ind w:left="1416" w:hanging="472"/>
      </w:pPr>
      <w:r w:rsidRPr="001A0E92">
        <w:t>２</w:t>
      </w:r>
      <w:r w:rsidRPr="001A0E92">
        <w:rPr>
          <w:rFonts w:hint="eastAsia"/>
        </w:rPr>
        <w:t>、</w:t>
      </w:r>
      <w:r w:rsidR="00950597" w:rsidRPr="001A0E92">
        <w:t>《受監管行業特別徵稅法》（</w:t>
      </w:r>
      <w:r w:rsidR="00950597" w:rsidRPr="001A0E92">
        <w:t>235/2012 Coll.</w:t>
      </w:r>
      <w:r w:rsidR="00950597" w:rsidRPr="001A0E92">
        <w:t>及修正案）對受監管行業徵收特別稅，包括能源和網絡行業、保險公司、電子通信公司、醫療保健、航空運輸等。該徵稅適用於受監管活動產生的超過</w:t>
      </w:r>
      <w:r w:rsidR="00950597" w:rsidRPr="001A0E92">
        <w:t xml:space="preserve"> 300 </w:t>
      </w:r>
      <w:r w:rsidR="00950597" w:rsidRPr="001A0E92">
        <w:t>萬歐元的利潤。</w:t>
      </w:r>
    </w:p>
    <w:p w:rsidR="00E04D75" w:rsidRPr="001A0E92" w:rsidRDefault="00E04D75" w:rsidP="00E04D75">
      <w:pPr>
        <w:pStyle w:val="afb"/>
        <w:ind w:left="1416" w:hanging="472"/>
      </w:pPr>
    </w:p>
    <w:p w:rsidR="00950597" w:rsidRPr="001A0E92" w:rsidRDefault="00E04D75" w:rsidP="00E04D75">
      <w:pPr>
        <w:pStyle w:val="afb"/>
        <w:ind w:left="1416" w:hanging="472"/>
      </w:pPr>
      <w:r w:rsidRPr="001A0E92">
        <w:t>３</w:t>
      </w:r>
      <w:r w:rsidRPr="001A0E92">
        <w:rPr>
          <w:rFonts w:hint="eastAsia"/>
        </w:rPr>
        <w:t>、</w:t>
      </w:r>
      <w:r w:rsidR="00950597" w:rsidRPr="001A0E92">
        <w:t>公司執照稅依營業額及加值稅區分</w:t>
      </w:r>
      <w:r w:rsidR="00950597" w:rsidRPr="001A0E92">
        <w:t>480</w:t>
      </w:r>
      <w:r w:rsidR="00950597" w:rsidRPr="001A0E92">
        <w:t>歐元、</w:t>
      </w:r>
      <w:r w:rsidR="00950597" w:rsidRPr="001A0E92">
        <w:t>960</w:t>
      </w:r>
      <w:r w:rsidR="00950597" w:rsidRPr="001A0E92">
        <w:t>歐元及</w:t>
      </w:r>
      <w:r w:rsidR="00950597" w:rsidRPr="001A0E92">
        <w:t>2,880</w:t>
      </w:r>
      <w:r w:rsidR="00950597" w:rsidRPr="001A0E92">
        <w:t>歐元等三類；</w:t>
      </w:r>
    </w:p>
    <w:p w:rsidR="00950597" w:rsidRPr="001A0E92" w:rsidRDefault="00E04D75" w:rsidP="00E04D75">
      <w:pPr>
        <w:pStyle w:val="afb"/>
        <w:ind w:left="1416" w:hanging="472"/>
      </w:pPr>
      <w:r w:rsidRPr="001A0E92">
        <w:rPr>
          <w:rFonts w:hint="eastAsia"/>
        </w:rPr>
        <w:t>４</w:t>
      </w:r>
      <w:r w:rsidRPr="001A0E92">
        <w:rPr>
          <w:rFonts w:ascii="華康細圓體" w:hint="eastAsia"/>
        </w:rPr>
        <w:t>、</w:t>
      </w:r>
      <w:r w:rsidR="00950597" w:rsidRPr="001A0E92">
        <w:t>加值稅之線上登記（交易報告</w:t>
      </w:r>
      <w:r w:rsidR="00950597" w:rsidRPr="001A0E92">
        <w:t>transaction report</w:t>
      </w:r>
      <w:r w:rsidR="00950597" w:rsidRPr="001A0E92">
        <w:t>）必須在每季隔月之第</w:t>
      </w:r>
      <w:r w:rsidR="00950597" w:rsidRPr="001A0E92">
        <w:t>25</w:t>
      </w:r>
      <w:r w:rsidR="00950597" w:rsidRPr="001A0E92">
        <w:t>日提報（如第</w:t>
      </w:r>
      <w:r w:rsidR="00950597" w:rsidRPr="001A0E92">
        <w:t>4</w:t>
      </w:r>
      <w:r w:rsidR="00950597" w:rsidRPr="001A0E92">
        <w:t>季則須在</w:t>
      </w:r>
      <w:r w:rsidR="00950597" w:rsidRPr="001A0E92">
        <w:t>1</w:t>
      </w:r>
      <w:r w:rsidR="00950597" w:rsidRPr="001A0E92">
        <w:t>月</w:t>
      </w:r>
      <w:r w:rsidR="00950597" w:rsidRPr="001A0E92">
        <w:t>25</w:t>
      </w:r>
      <w:r w:rsidR="00950597" w:rsidRPr="001A0E92">
        <w:t>日前提報），倘延遲提報需繳交</w:t>
      </w:r>
      <w:r w:rsidR="00950597" w:rsidRPr="001A0E92">
        <w:t>10,000</w:t>
      </w:r>
      <w:r w:rsidR="00950597" w:rsidRPr="001A0E92">
        <w:t>歐元罰鍰。</w:t>
      </w:r>
    </w:p>
    <w:p w:rsidR="00950597" w:rsidRPr="001A0E92" w:rsidRDefault="00E04D75" w:rsidP="00E04D75">
      <w:pPr>
        <w:pStyle w:val="afb"/>
        <w:ind w:left="1416" w:hanging="472"/>
      </w:pPr>
      <w:r w:rsidRPr="001A0E92">
        <w:rPr>
          <w:rFonts w:hint="eastAsia"/>
        </w:rPr>
        <w:t>５</w:t>
      </w:r>
      <w:r w:rsidRPr="001A0E92">
        <w:rPr>
          <w:rFonts w:ascii="華康細圓體" w:hint="eastAsia"/>
        </w:rPr>
        <w:t>、</w:t>
      </w:r>
      <w:r w:rsidR="00950597" w:rsidRPr="001A0E92">
        <w:t>折舊抵減之分類及折舊年限：為</w:t>
      </w:r>
      <w:r w:rsidR="00950597" w:rsidRPr="001A0E92">
        <w:t>6</w:t>
      </w:r>
      <w:r w:rsidR="00950597" w:rsidRPr="001A0E92">
        <w:t>類，包括電腦及辦公室設備之抵減年限維持</w:t>
      </w:r>
      <w:r w:rsidR="00950597" w:rsidRPr="001A0E92">
        <w:t>4</w:t>
      </w:r>
      <w:r w:rsidR="00950597" w:rsidRPr="001A0E92">
        <w:t>年不便；壓縮機家具及其他電器設備維持</w:t>
      </w:r>
      <w:r w:rsidR="00950597" w:rsidRPr="001A0E92">
        <w:t>6</w:t>
      </w:r>
      <w:r w:rsidR="00950597" w:rsidRPr="001A0E92">
        <w:t>年不便；發電機、電力供應設備及空調設備另區分為一類，折舊年限自</w:t>
      </w:r>
      <w:r w:rsidR="00950597" w:rsidRPr="001A0E92">
        <w:t>12</w:t>
      </w:r>
      <w:r w:rsidR="00950597" w:rsidRPr="001A0E92">
        <w:t>年調降為</w:t>
      </w:r>
      <w:r w:rsidR="00950597" w:rsidRPr="001A0E92">
        <w:t>8</w:t>
      </w:r>
      <w:r w:rsidR="00950597" w:rsidRPr="001A0E92">
        <w:t>年；貨櫃及船則維持</w:t>
      </w:r>
      <w:r w:rsidR="00950597" w:rsidRPr="001A0E92">
        <w:t>12</w:t>
      </w:r>
      <w:r w:rsidR="00950597" w:rsidRPr="001A0E92">
        <w:t>年；建築物另區分工程建築（如道路、橋）折舊年限維持</w:t>
      </w:r>
      <w:r w:rsidR="00950597" w:rsidRPr="001A0E92">
        <w:t>20</w:t>
      </w:r>
      <w:r w:rsidR="00950597" w:rsidRPr="001A0E92">
        <w:t>年；其他住宅、旅館、行政大樓及文化娛樂用途（如戲院）之折舊年限改為</w:t>
      </w:r>
      <w:r w:rsidR="00950597" w:rsidRPr="001A0E92">
        <w:t>40</w:t>
      </w:r>
      <w:r w:rsidR="00950597" w:rsidRPr="001A0E92">
        <w:t>年。</w:t>
      </w:r>
    </w:p>
    <w:p w:rsidR="00950597" w:rsidRPr="001A0E92" w:rsidRDefault="00E04D75" w:rsidP="00E04D75">
      <w:pPr>
        <w:pStyle w:val="afb"/>
        <w:ind w:left="1416" w:hanging="472"/>
      </w:pPr>
      <w:r w:rsidRPr="001A0E92">
        <w:rPr>
          <w:rFonts w:hint="eastAsia"/>
        </w:rPr>
        <w:t>６</w:t>
      </w:r>
      <w:r w:rsidRPr="001A0E92">
        <w:rPr>
          <w:rFonts w:ascii="華康細圓體" w:hint="eastAsia"/>
        </w:rPr>
        <w:t>、</w:t>
      </w:r>
      <w:r w:rsidR="00950597" w:rsidRPr="001A0E92">
        <w:t>折舊抵減之金額限制：汽車折舊金額之上限（奢侈限制</w:t>
      </w:r>
      <w:r w:rsidR="00950597" w:rsidRPr="001A0E92">
        <w:t>Luxury limit</w:t>
      </w:r>
      <w:r w:rsidR="00950597" w:rsidRPr="001A0E92">
        <w:t>）為</w:t>
      </w:r>
      <w:r w:rsidR="00950597" w:rsidRPr="001A0E92">
        <w:t>48,000</w:t>
      </w:r>
      <w:r w:rsidR="00950597" w:rsidRPr="001A0E92">
        <w:t>歐元。</w:t>
      </w:r>
    </w:p>
    <w:p w:rsidR="00950597" w:rsidRPr="001A0E92" w:rsidRDefault="00E04D75" w:rsidP="00E04D75">
      <w:pPr>
        <w:pStyle w:val="afb"/>
        <w:ind w:left="1416" w:hanging="472"/>
      </w:pPr>
      <w:r w:rsidRPr="001A0E92">
        <w:rPr>
          <w:rFonts w:hint="eastAsia"/>
        </w:rPr>
        <w:t>７</w:t>
      </w:r>
      <w:r w:rsidRPr="001A0E92">
        <w:rPr>
          <w:rFonts w:ascii="華康細圓體" w:hint="eastAsia"/>
        </w:rPr>
        <w:t>、</w:t>
      </w:r>
      <w:r w:rsidR="00950597" w:rsidRPr="001A0E92">
        <w:t>利息成本之稅捐抵減限制：信用及貸款之成本（利息支出）最高僅能折抵稅捐</w:t>
      </w:r>
      <w:r w:rsidR="00950597" w:rsidRPr="001A0E92">
        <w:t>25%</w:t>
      </w:r>
      <w:r w:rsidR="00950597" w:rsidRPr="001A0E92">
        <w:t>。</w:t>
      </w:r>
    </w:p>
    <w:p w:rsidR="00950597" w:rsidRPr="001A0E92" w:rsidRDefault="00E04D75" w:rsidP="00E04D75">
      <w:pPr>
        <w:pStyle w:val="afb"/>
        <w:ind w:left="1416" w:hanging="472"/>
      </w:pPr>
      <w:r w:rsidRPr="001A0E92">
        <w:rPr>
          <w:rFonts w:hint="eastAsia"/>
        </w:rPr>
        <w:t>８</w:t>
      </w:r>
      <w:r w:rsidRPr="001A0E92">
        <w:rPr>
          <w:rFonts w:ascii="華康細圓體" w:hint="eastAsia"/>
        </w:rPr>
        <w:t>、</w:t>
      </w:r>
      <w:r w:rsidR="00950597" w:rsidRPr="001A0E92">
        <w:t>稅損（</w:t>
      </w:r>
      <w:r w:rsidR="00950597" w:rsidRPr="001A0E92">
        <w:t>tax loss</w:t>
      </w:r>
      <w:r w:rsidR="00950597" w:rsidRPr="001A0E92">
        <w:t>）年限：公司虧損得於未來四年內予以抵減，且未來四年內每年抵減上限不得超過當年虧損金額之</w:t>
      </w:r>
      <w:r w:rsidR="00950597" w:rsidRPr="001A0E92">
        <w:t>25%</w:t>
      </w:r>
      <w:r w:rsidR="00950597" w:rsidRPr="001A0E92">
        <w:t>。</w:t>
      </w:r>
    </w:p>
    <w:p w:rsidR="00950597" w:rsidRPr="001A0E92" w:rsidRDefault="00E04D75" w:rsidP="00E04D75">
      <w:pPr>
        <w:pStyle w:val="afb"/>
        <w:ind w:left="1416" w:hanging="472"/>
      </w:pPr>
      <w:r w:rsidRPr="001A0E92">
        <w:rPr>
          <w:rFonts w:hint="eastAsia"/>
        </w:rPr>
        <w:t>９</w:t>
      </w:r>
      <w:r w:rsidRPr="001A0E92">
        <w:rPr>
          <w:rFonts w:ascii="華康細圓體" w:hint="eastAsia"/>
        </w:rPr>
        <w:t>、</w:t>
      </w:r>
      <w:r w:rsidR="00950597" w:rsidRPr="001A0E92">
        <w:t>薪資所得免稅額度：薪資所得之每人免稅額度為</w:t>
      </w:r>
      <w:r w:rsidR="00950597" w:rsidRPr="001A0E92">
        <w:t>316.94</w:t>
      </w:r>
      <w:r w:rsidR="00950597" w:rsidRPr="001A0E92">
        <w:t>歐元，每月子女之扶養免稅額為</w:t>
      </w:r>
      <w:r w:rsidR="00950597" w:rsidRPr="001A0E92">
        <w:t>21.41</w:t>
      </w:r>
      <w:r w:rsidR="00950597" w:rsidRPr="001A0E92">
        <w:t>歐元，即每年免稅額</w:t>
      </w:r>
      <w:r w:rsidR="00950597" w:rsidRPr="001A0E92">
        <w:t>256.92</w:t>
      </w:r>
      <w:r w:rsidR="00950597" w:rsidRPr="001A0E92">
        <w:t>歐元。</w:t>
      </w:r>
    </w:p>
    <w:p w:rsidR="00950597" w:rsidRPr="001A0E92" w:rsidRDefault="00950597" w:rsidP="00E04D75">
      <w:pPr>
        <w:pStyle w:val="afb"/>
        <w:ind w:left="1416" w:hanging="472"/>
      </w:pPr>
      <w:r w:rsidRPr="001A0E92">
        <w:rPr>
          <w:rFonts w:ascii="華康細圓體" w:hint="eastAsia"/>
        </w:rPr>
        <w:t>10</w:t>
      </w:r>
      <w:r w:rsidR="00E04D75" w:rsidRPr="001A0E92">
        <w:rPr>
          <w:rFonts w:ascii="華康細圓體" w:hint="eastAsia"/>
        </w:rPr>
        <w:t>、</w:t>
      </w:r>
      <w:r w:rsidRPr="001A0E92">
        <w:t>基於國際稅務協調與合作，跨國公司依據國際協議及條約，有義務提交其合併財務報表供斯國財稅機構稽查。因此，斯國修訂其第</w:t>
      </w:r>
      <w:r w:rsidRPr="001A0E92">
        <w:t>442/2012</w:t>
      </w:r>
      <w:r w:rsidRPr="001A0E92">
        <w:t>號稅法，並自</w:t>
      </w:r>
      <w:r w:rsidRPr="001A0E92">
        <w:t>2017</w:t>
      </w:r>
      <w:r w:rsidRPr="001A0E92">
        <w:t>年</w:t>
      </w:r>
      <w:r w:rsidRPr="001A0E92">
        <w:t>3</w:t>
      </w:r>
      <w:r w:rsidRPr="001A0E92">
        <w:t>月</w:t>
      </w:r>
      <w:r w:rsidRPr="001A0E92">
        <w:t>1</w:t>
      </w:r>
      <w:r w:rsidRPr="001A0E92">
        <w:t>日起生效。規定在斯國年營業額超過</w:t>
      </w:r>
      <w:r w:rsidRPr="001A0E92">
        <w:t>7.5</w:t>
      </w:r>
      <w:r w:rsidRPr="001A0E92">
        <w:t>億歐元之多國籍企業，必須每年</w:t>
      </w:r>
      <w:r w:rsidRPr="001A0E92">
        <w:t>3</w:t>
      </w:r>
      <w:r w:rsidRPr="001A0E92">
        <w:t>月底之前，提報公司聲明報告（</w:t>
      </w:r>
      <w:r w:rsidRPr="001A0E92">
        <w:t>announcement</w:t>
      </w:r>
      <w:r w:rsidRPr="001A0E92">
        <w:t>）及公司提報母公司上一年度之營收報告（</w:t>
      </w:r>
      <w:r w:rsidRPr="001A0E92">
        <w:t>Country-by-Country Report</w:t>
      </w:r>
      <w:r w:rsidRPr="001A0E92">
        <w:t>）。倘若未提報聲明報告者，則將罰以</w:t>
      </w:r>
      <w:r w:rsidRPr="001A0E92">
        <w:t>3,000</w:t>
      </w:r>
      <w:r w:rsidRPr="001A0E92">
        <w:t>歐元；若未提報</w:t>
      </w:r>
      <w:r w:rsidRPr="001A0E92">
        <w:t>Country-by-Country Report</w:t>
      </w:r>
      <w:r w:rsidRPr="001A0E92">
        <w:t>，則將罰以</w:t>
      </w:r>
      <w:r w:rsidRPr="001A0E92">
        <w:t>10,000</w:t>
      </w:r>
      <w:r w:rsidRPr="001A0E92">
        <w:t>歐元。</w:t>
      </w:r>
    </w:p>
    <w:p w:rsidR="00950597" w:rsidRPr="001A0E92" w:rsidRDefault="00950597" w:rsidP="00E04D75">
      <w:pPr>
        <w:pStyle w:val="afb"/>
        <w:ind w:left="1416" w:hanging="472"/>
      </w:pPr>
      <w:r w:rsidRPr="001A0E92">
        <w:rPr>
          <w:rFonts w:ascii="華康細圓體" w:hint="eastAsia"/>
        </w:rPr>
        <w:t>11</w:t>
      </w:r>
      <w:r w:rsidR="00E04D75" w:rsidRPr="001A0E92">
        <w:rPr>
          <w:rFonts w:ascii="華康細圓體" w:hint="eastAsia"/>
        </w:rPr>
        <w:t>、</w:t>
      </w:r>
      <w:r w:rsidRPr="001A0E92">
        <w:t>此外，斯國政府自</w:t>
      </w:r>
      <w:r w:rsidRPr="001A0E92">
        <w:t>2017</w:t>
      </w:r>
      <w:r w:rsidRPr="001A0E92">
        <w:t>年</w:t>
      </w:r>
      <w:r w:rsidRPr="001A0E92">
        <w:t>7</w:t>
      </w:r>
      <w:r w:rsidRPr="001A0E92">
        <w:t>月</w:t>
      </w:r>
      <w:r w:rsidRPr="001A0E92">
        <w:t>1</w:t>
      </w:r>
      <w:r w:rsidRPr="001A0E92">
        <w:t>日起強制實施電子身分證（</w:t>
      </w:r>
      <w:r w:rsidRPr="001A0E92">
        <w:t>eID</w:t>
      </w:r>
      <w:r w:rsidRPr="001A0E92">
        <w:t>）及電子通信制度（</w:t>
      </w:r>
      <w:r w:rsidRPr="001A0E92">
        <w:t>mandatory electronic communication</w:t>
      </w:r>
      <w:r w:rsidRPr="001A0E92">
        <w:t>）。在斯國擔任公司法人代表者倘非斯國國民或無永久居留權者，亦可自</w:t>
      </w:r>
      <w:r w:rsidRPr="001A0E92">
        <w:t>2017</w:t>
      </w:r>
      <w:r w:rsidRPr="001A0E92">
        <w:t>年</w:t>
      </w:r>
      <w:r w:rsidRPr="001A0E92">
        <w:t>3</w:t>
      </w:r>
      <w:r w:rsidRPr="001A0E92">
        <w:t>月</w:t>
      </w:r>
      <w:r w:rsidRPr="001A0E92">
        <w:t>1</w:t>
      </w:r>
      <w:r w:rsidRPr="001A0E92">
        <w:t>日起，向斯國內政部申請替代辨識卡（</w:t>
      </w:r>
      <w:r w:rsidRPr="001A0E92">
        <w:t>alternative identificator</w:t>
      </w:r>
      <w:r w:rsidRPr="001A0E92">
        <w:t>，具有個人隱私安全保護之</w:t>
      </w:r>
      <w:r w:rsidRPr="001A0E92">
        <w:t>BOK</w:t>
      </w:r>
      <w:r w:rsidRPr="001A0E92">
        <w:t>晶片卡），俾便使用公務電子信箱。</w:t>
      </w:r>
    </w:p>
    <w:p w:rsidR="00950597" w:rsidRPr="001A0E92" w:rsidRDefault="00950597" w:rsidP="00E04D75">
      <w:pPr>
        <w:pStyle w:val="af3"/>
        <w:spacing w:before="257" w:after="257"/>
        <w:ind w:left="632" w:hanging="632"/>
        <w:rPr>
          <w:color w:val="auto"/>
        </w:rPr>
      </w:pPr>
      <w:r w:rsidRPr="001A0E92">
        <w:rPr>
          <w:color w:val="auto"/>
        </w:rPr>
        <w:t>二、金融</w:t>
      </w:r>
    </w:p>
    <w:p w:rsidR="00950597" w:rsidRPr="001A0E92" w:rsidRDefault="00950597" w:rsidP="00E04D75">
      <w:pPr>
        <w:pStyle w:val="a0"/>
        <w:ind w:firstLine="472"/>
      </w:pPr>
      <w:r w:rsidRPr="001A0E92">
        <w:t>斯國於</w:t>
      </w:r>
      <w:r w:rsidRPr="001A0E92">
        <w:t>1998</w:t>
      </w:r>
      <w:r w:rsidRPr="001A0E92">
        <w:t>年起將其國營銀行進行民營化，而大部分的銀行均被奧地利、比利時、義大利等西歐國家之銀行所併購。目前斯國銀行業持有執照的金融機構計</w:t>
      </w:r>
      <w:r w:rsidRPr="001A0E92">
        <w:t>27</w:t>
      </w:r>
      <w:r w:rsidRPr="001A0E92">
        <w:t>家，皆由外國實體控制，主要是來自奧地利、意大利和比利時的銀行集團，並有</w:t>
      </w:r>
      <w:r w:rsidRPr="001A0E92">
        <w:t>93.8%</w:t>
      </w:r>
      <w:r w:rsidRPr="001A0E92">
        <w:t>以零售和企業銀行業務為主。斯國現有</w:t>
      </w:r>
      <w:r w:rsidRPr="001A0E92">
        <w:t>13</w:t>
      </w:r>
      <w:r w:rsidRPr="001A0E92">
        <w:t>家銀行，較具規模的銀行包括</w:t>
      </w:r>
      <w:r w:rsidRPr="001A0E92">
        <w:t>Slovenska sporitelna</w:t>
      </w:r>
      <w:r w:rsidRPr="001A0E92">
        <w:t>、</w:t>
      </w:r>
      <w:r w:rsidRPr="001A0E92">
        <w:t>VUB Banka</w:t>
      </w:r>
      <w:r w:rsidRPr="001A0E92">
        <w:t>和</w:t>
      </w:r>
      <w:r w:rsidRPr="001A0E92">
        <w:t>Tatra banka</w:t>
      </w:r>
      <w:r w:rsidRPr="001A0E92">
        <w:t>，擁有全國</w:t>
      </w:r>
      <w:r w:rsidRPr="001A0E92">
        <w:t>60%</w:t>
      </w:r>
      <w:r w:rsidRPr="001A0E92">
        <w:t>的銀行資產。斯國金融產業係國家</w:t>
      </w:r>
      <w:r w:rsidRPr="001A0E92">
        <w:t>GDP</w:t>
      </w:r>
      <w:r w:rsidRPr="001A0E92">
        <w:t>中相對較小的部門。斯國銀行的資金主要來自於國內客戶的存款。</w:t>
      </w:r>
    </w:p>
    <w:p w:rsidR="00950597" w:rsidRPr="001A0E92" w:rsidRDefault="00950597" w:rsidP="00E04D75">
      <w:pPr>
        <w:pStyle w:val="a0"/>
        <w:ind w:firstLine="472"/>
      </w:pPr>
      <w:r w:rsidRPr="001A0E92">
        <w:t>斯國銀行業務數位化普及，包括非接觸式卡片、非接觸式移動支付和點對點支付等。另一方面，</w:t>
      </w:r>
      <w:r w:rsidRPr="001A0E92">
        <w:t>ATM</w:t>
      </w:r>
      <w:r w:rsidRPr="001A0E92">
        <w:t>和</w:t>
      </w:r>
      <w:r w:rsidRPr="001A0E92">
        <w:t>POS</w:t>
      </w:r>
      <w:r w:rsidRPr="001A0E92">
        <w:t>的數量近年來一直在增長。移動支付亦有增加。</w:t>
      </w:r>
    </w:p>
    <w:p w:rsidR="00950597" w:rsidRPr="001A0E92" w:rsidRDefault="00950597" w:rsidP="00E04D75">
      <w:pPr>
        <w:pStyle w:val="a0"/>
        <w:ind w:firstLine="472"/>
      </w:pPr>
      <w:r w:rsidRPr="001A0E92">
        <w:t>在融資方面，外資企業與當地企業享受同等待遇。根據斯洛伐克《商業法》，在斯境內註冊並經營的法人均可向斯國銀行申請融資。斯洛伐克融資成本受其主權信用評級、企業信用評級、資金流動性和項目評估等多種因素影響，總體上不低於當月發行的政府債券利率。斯洛伐克金融服務業發達，有理財、審計、稅務等諮詢服務專業；保險服務完善，便於風險投保。</w:t>
      </w:r>
    </w:p>
    <w:p w:rsidR="00950597" w:rsidRPr="001A0E92" w:rsidRDefault="00950597" w:rsidP="00E04D75">
      <w:pPr>
        <w:pStyle w:val="af3"/>
        <w:pageBreakBefore/>
        <w:spacing w:before="257" w:after="257"/>
        <w:ind w:left="632" w:hanging="632"/>
        <w:rPr>
          <w:color w:val="auto"/>
        </w:rPr>
      </w:pPr>
      <w:r w:rsidRPr="001A0E92">
        <w:rPr>
          <w:color w:val="auto"/>
        </w:rPr>
        <w:t>三、匯兌</w:t>
      </w:r>
    </w:p>
    <w:p w:rsidR="0032277D" w:rsidRPr="001A0E92" w:rsidRDefault="00950597" w:rsidP="00E04D75">
      <w:pPr>
        <w:pStyle w:val="a0"/>
        <w:ind w:firstLine="472"/>
      </w:pPr>
      <w:r w:rsidRPr="001A0E92">
        <w:t>斯國已於</w:t>
      </w:r>
      <w:r w:rsidRPr="001A0E92">
        <w:t>2009</w:t>
      </w:r>
      <w:r w:rsidRPr="001A0E92">
        <w:t>年</w:t>
      </w:r>
      <w:r w:rsidRPr="001A0E92">
        <w:t>1</w:t>
      </w:r>
      <w:r w:rsidRPr="001A0E92">
        <w:t>月</w:t>
      </w:r>
      <w:r w:rsidRPr="001A0E92">
        <w:t>1</w:t>
      </w:r>
      <w:r w:rsidRPr="001A0E92">
        <w:t>日正式加入歐元區，並訂有歐元啟用實施條例（</w:t>
      </w:r>
      <w:r w:rsidRPr="001A0E92">
        <w:t>General Act on the EURO and Implementing Regulations</w:t>
      </w:r>
      <w:r w:rsidRPr="001A0E92">
        <w:rPr>
          <w:rStyle w:val="a9"/>
          <w:kern w:val="0"/>
        </w:rPr>
        <w:footnoteReference w:id="8"/>
      </w:r>
      <w:r w:rsidRPr="001A0E92">
        <w:t>）以妥善處理兌換及適用問題。</w:t>
      </w:r>
      <w:r w:rsidRPr="001A0E92">
        <w:t>2023</w:t>
      </w:r>
      <w:r w:rsidRPr="001A0E92">
        <w:t>年</w:t>
      </w:r>
      <w:r w:rsidRPr="001A0E92">
        <w:t>5</w:t>
      </w:r>
      <w:r w:rsidRPr="001A0E92">
        <w:t>月</w:t>
      </w:r>
      <w:r w:rsidRPr="001A0E92">
        <w:t>1</w:t>
      </w:r>
      <w:r w:rsidRPr="001A0E92">
        <w:t>歐元約兌換</w:t>
      </w:r>
      <w:r w:rsidRPr="001A0E92">
        <w:t>33.6</w:t>
      </w:r>
      <w:r w:rsidRPr="001A0E92">
        <w:t>新臺幣</w:t>
      </w:r>
      <w:r w:rsidR="0032277D" w:rsidRPr="001A0E92">
        <w:t>。</w:t>
      </w:r>
    </w:p>
    <w:p w:rsidR="0032277D" w:rsidRPr="001A0E92" w:rsidRDefault="0032277D" w:rsidP="00306400"/>
    <w:p w:rsidR="0032277D" w:rsidRPr="001A0E92" w:rsidRDefault="0032277D" w:rsidP="00AA1A88">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kern w:val="1"/>
          <w:sz w:val="40"/>
          <w:lang w:val="x-none"/>
        </w:rPr>
      </w:pPr>
    </w:p>
    <w:p w:rsidR="00D73808" w:rsidRPr="001A0E92" w:rsidRDefault="00D73808">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kern w:val="1"/>
          <w:sz w:val="40"/>
          <w:lang w:val="x-none"/>
        </w:rPr>
      </w:pPr>
      <w:r w:rsidRPr="001A0E92">
        <w:rPr>
          <w:rFonts w:ascii="華康新特明體(P)" w:eastAsia="華康新特明體(P)" w:hAnsi="華康新特明體(P)"/>
          <w:kern w:val="1"/>
          <w:sz w:val="40"/>
          <w:lang w:val="x-none"/>
        </w:rPr>
        <w:br w:type="page"/>
      </w:r>
    </w:p>
    <w:p w:rsidR="001D39E3" w:rsidRPr="001A0E92" w:rsidRDefault="001D39E3" w:rsidP="00AA1A88">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kern w:val="1"/>
          <w:sz w:val="40"/>
          <w:lang w:val="x-none"/>
        </w:rPr>
      </w:pPr>
    </w:p>
    <w:p w:rsidR="001D39E3" w:rsidRPr="001A0E92" w:rsidRDefault="001D39E3" w:rsidP="00AA1A88">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kern w:val="1"/>
          <w:sz w:val="40"/>
          <w:lang w:val="x-none"/>
        </w:rPr>
      </w:pPr>
    </w:p>
    <w:p w:rsidR="001D39E3" w:rsidRPr="001A0E92" w:rsidRDefault="001D39E3" w:rsidP="00AA1A88">
      <w:pPr>
        <w:widowControl/>
        <w:pBdr>
          <w:top w:val="none" w:sz="0" w:space="0" w:color="auto"/>
          <w:left w:val="none" w:sz="0" w:space="0" w:color="auto"/>
          <w:bottom w:val="none" w:sz="0" w:space="0" w:color="auto"/>
          <w:right w:val="none" w:sz="0" w:space="0" w:color="auto"/>
        </w:pBdr>
        <w:overflowPunct/>
        <w:autoSpaceDE/>
        <w:autoSpaceDN/>
        <w:jc w:val="left"/>
        <w:rPr>
          <w:rFonts w:ascii="華康新特明體(P)" w:eastAsia="華康新特明體(P)" w:hAnsi="華康新特明體(P)"/>
          <w:kern w:val="1"/>
          <w:sz w:val="40"/>
          <w:lang w:val="x-none"/>
        </w:rPr>
        <w:sectPr w:rsidR="001D39E3" w:rsidRPr="001A0E92" w:rsidSect="00D8781B">
          <w:headerReference w:type="default" r:id="rId40"/>
          <w:footerReference w:type="even" r:id="rId41"/>
          <w:footerReference w:type="default" r:id="rId42"/>
          <w:headerReference w:type="first" r:id="rId43"/>
          <w:footerReference w:type="first" r:id="rId44"/>
          <w:pgSz w:w="11906" w:h="16838"/>
          <w:pgMar w:top="2268" w:right="1701" w:bottom="1701" w:left="1701" w:header="1134" w:footer="851" w:gutter="0"/>
          <w:cols w:space="720"/>
          <w:docGrid w:type="linesAndChars" w:linePitch="514" w:charSpace="-819"/>
        </w:sectPr>
      </w:pPr>
    </w:p>
    <w:p w:rsidR="0032277D" w:rsidRPr="001A0E92" w:rsidRDefault="0032277D" w:rsidP="00933D73">
      <w:pPr>
        <w:pStyle w:val="af2"/>
        <w:spacing w:before="514" w:after="771"/>
      </w:pPr>
      <w:bookmarkStart w:id="12" w:name="_Toc19484726"/>
      <w:bookmarkStart w:id="13" w:name="_Toc145895375"/>
      <w:r w:rsidRPr="001A0E92">
        <w:t>第陸章  基礎建設及成本</w:t>
      </w:r>
      <w:bookmarkEnd w:id="12"/>
      <w:bookmarkEnd w:id="13"/>
    </w:p>
    <w:p w:rsidR="0032277D" w:rsidRPr="001A0E92" w:rsidRDefault="0032277D">
      <w:pPr>
        <w:pStyle w:val="af3"/>
        <w:spacing w:before="257" w:after="257"/>
        <w:ind w:left="632" w:hanging="632"/>
        <w:rPr>
          <w:color w:val="auto"/>
        </w:rPr>
      </w:pPr>
      <w:r w:rsidRPr="001A0E92">
        <w:rPr>
          <w:color w:val="auto"/>
        </w:rPr>
        <w:t>一、土地</w:t>
      </w:r>
    </w:p>
    <w:p w:rsidR="004F0E9D" w:rsidRPr="001A0E92" w:rsidRDefault="004F0E9D" w:rsidP="00E04D75">
      <w:pPr>
        <w:pStyle w:val="a0"/>
        <w:ind w:firstLine="472"/>
      </w:pPr>
      <w:r w:rsidRPr="001A0E92">
        <w:t>依據</w:t>
      </w:r>
      <w:r w:rsidRPr="001A0E92">
        <w:t>Immigrant Invest</w:t>
      </w:r>
      <w:r w:rsidRPr="001A0E92">
        <w:t>網站資訊，在斯國首都</w:t>
      </w:r>
      <w:r w:rsidRPr="001A0E92">
        <w:t>Bratislava</w:t>
      </w:r>
      <w:r w:rsidRPr="001A0E92">
        <w:t>市的價格約為郊區公寓一戶</w:t>
      </w:r>
      <w:r w:rsidRPr="001A0E92">
        <w:t>20</w:t>
      </w:r>
      <w:r w:rsidRPr="001A0E92">
        <w:t>萬歐元、距市中心</w:t>
      </w:r>
      <w:r w:rsidRPr="001A0E92">
        <w:t>10</w:t>
      </w:r>
      <w:r w:rsidRPr="001A0E92">
        <w:t>分鐘車程區域一戶</w:t>
      </w:r>
      <w:r w:rsidRPr="001A0E92">
        <w:t>50</w:t>
      </w:r>
      <w:r w:rsidRPr="001A0E92">
        <w:t>萬歐元、市中心頂摟可至</w:t>
      </w:r>
      <w:r w:rsidRPr="001A0E92">
        <w:t>130</w:t>
      </w:r>
      <w:r w:rsidRPr="001A0E92">
        <w:t>萬歐元。辦公空間部分，</w:t>
      </w:r>
      <w:r w:rsidRPr="001A0E92">
        <w:t>Bratislava</w:t>
      </w:r>
      <w:r w:rsidRPr="001A0E92">
        <w:t>平均租金為每平方公尺</w:t>
      </w:r>
      <w:r w:rsidRPr="001A0E92">
        <w:t>20</w:t>
      </w:r>
      <w:r w:rsidRPr="001A0E92">
        <w:t>歐元，著名建設包括</w:t>
      </w:r>
      <w:r w:rsidRPr="001A0E92">
        <w:t xml:space="preserve">JTRE </w:t>
      </w:r>
      <w:r w:rsidRPr="001A0E92">
        <w:t>的</w:t>
      </w:r>
      <w:r w:rsidRPr="001A0E92">
        <w:t xml:space="preserve"> Klingerka Offices</w:t>
      </w:r>
      <w:r w:rsidRPr="001A0E92">
        <w:t>以及</w:t>
      </w:r>
      <w:r w:rsidRPr="001A0E92">
        <w:t>Sky Park Jurkovičova Tepláren</w:t>
      </w:r>
      <w:r w:rsidRPr="001A0E92">
        <w:t>。</w:t>
      </w:r>
    </w:p>
    <w:p w:rsidR="004F0E9D" w:rsidRPr="001A0E92" w:rsidRDefault="004F0E9D" w:rsidP="00E04D75">
      <w:pPr>
        <w:pStyle w:val="a0"/>
        <w:ind w:firstLine="472"/>
      </w:pPr>
      <w:r w:rsidRPr="001A0E92">
        <w:t>工業市場仍然是斯國房地產中流動性最強和增長最快的部分，開發商及新倉庫的興建都有增加的趨勢。斯國媒體</w:t>
      </w:r>
      <w:r w:rsidRPr="001A0E92">
        <w:t>Slovak Spectator</w:t>
      </w:r>
      <w:r w:rsidRPr="001A0E92">
        <w:t>於</w:t>
      </w:r>
      <w:r w:rsidRPr="001A0E92">
        <w:t>2023</w:t>
      </w:r>
      <w:r w:rsidRPr="001A0E92">
        <w:t>年</w:t>
      </w:r>
      <w:r w:rsidRPr="001A0E92">
        <w:t>4</w:t>
      </w:r>
      <w:r w:rsidRPr="001A0E92">
        <w:t>月報導指出，斯國工業及物流業在</w:t>
      </w:r>
      <w:r w:rsidRPr="001A0E92">
        <w:t>2022</w:t>
      </w:r>
      <w:r w:rsidRPr="001A0E92">
        <w:t>年表現強勁，連帶使廠房及倉庫的空置率創歷史新低，租賃活動亦較</w:t>
      </w:r>
      <w:r w:rsidRPr="001A0E92">
        <w:t>2021</w:t>
      </w:r>
      <w:r w:rsidRPr="001A0E92">
        <w:t>年同期增加</w:t>
      </w:r>
      <w:r w:rsidRPr="001A0E92">
        <w:t>31%</w:t>
      </w:r>
      <w:r w:rsidRPr="001A0E92">
        <w:t>。租金方面，</w:t>
      </w:r>
      <w:r w:rsidRPr="001A0E92">
        <w:t>2022</w:t>
      </w:r>
      <w:r w:rsidRPr="001A0E92">
        <w:t>年第</w:t>
      </w:r>
      <w:r w:rsidRPr="001A0E92">
        <w:t>4</w:t>
      </w:r>
      <w:r w:rsidRPr="001A0E92">
        <w:t>季斯國平均租金為每平方公尺</w:t>
      </w:r>
      <w:r w:rsidRPr="001A0E92">
        <w:t>4.9</w:t>
      </w:r>
      <w:r w:rsidRPr="001A0E92">
        <w:t>歐元，較上年同期增加</w:t>
      </w:r>
      <w:r w:rsidRPr="001A0E92">
        <w:t>26%</w:t>
      </w:r>
      <w:r w:rsidRPr="001A0E92">
        <w:t>。</w:t>
      </w:r>
    </w:p>
    <w:p w:rsidR="004F0E9D" w:rsidRPr="001A0E92" w:rsidRDefault="004F0E9D" w:rsidP="00E04D75">
      <w:pPr>
        <w:pStyle w:val="a0"/>
        <w:ind w:firstLine="472"/>
      </w:pPr>
      <w:r w:rsidRPr="001A0E92">
        <w:t>斯洛伐克產業園區建設計畫</w:t>
      </w:r>
    </w:p>
    <w:p w:rsidR="004F0E9D" w:rsidRPr="001A0E92" w:rsidRDefault="004F0E9D" w:rsidP="00E04D75">
      <w:pPr>
        <w:pStyle w:val="af8"/>
        <w:ind w:left="944" w:hanging="708"/>
      </w:pPr>
      <w:r w:rsidRPr="001A0E92">
        <w:t>（一）斯國經濟部於</w:t>
      </w:r>
      <w:r w:rsidRPr="001A0E92">
        <w:t>2022</w:t>
      </w:r>
      <w:r w:rsidRPr="001A0E92">
        <w:t>年將</w:t>
      </w:r>
      <w:r w:rsidRPr="001A0E92">
        <w:t>Rimavska Sobota</w:t>
      </w:r>
      <w:r w:rsidRPr="001A0E92">
        <w:t>及</w:t>
      </w:r>
      <w:r w:rsidRPr="001A0E92">
        <w:t>Valaliky</w:t>
      </w:r>
      <w:r w:rsidRPr="001A0E92">
        <w:t>工業園區為該部優先國家建設重點。其中</w:t>
      </w:r>
      <w:r w:rsidRPr="001A0E92">
        <w:t>Rimavska Sobota</w:t>
      </w:r>
      <w:r w:rsidRPr="001A0E92">
        <w:t>位於斯國南部，</w:t>
      </w:r>
      <w:r w:rsidRPr="001A0E92">
        <w:t>2021</w:t>
      </w:r>
      <w:r w:rsidRPr="001A0E92">
        <w:t>年</w:t>
      </w:r>
      <w:r w:rsidRPr="001A0E92">
        <w:t>1</w:t>
      </w:r>
      <w:r w:rsidRPr="001A0E92">
        <w:t>月斯國經濟部批准園區開發計畫，總投資額達</w:t>
      </w:r>
      <w:r w:rsidRPr="001A0E92">
        <w:t>984</w:t>
      </w:r>
      <w:r w:rsidRPr="001A0E92">
        <w:t>萬歐元，占地約有</w:t>
      </w:r>
      <w:r w:rsidRPr="001A0E92">
        <w:t>50</w:t>
      </w:r>
      <w:r w:rsidRPr="001A0E92">
        <w:t>公頃，由國營</w:t>
      </w:r>
      <w:r w:rsidRPr="001A0E92">
        <w:t>MH Invest</w:t>
      </w:r>
      <w:r w:rsidRPr="001A0E92">
        <w:t>公司負責開發及興建，將創造</w:t>
      </w:r>
      <w:r w:rsidRPr="001A0E92">
        <w:t>500</w:t>
      </w:r>
      <w:r w:rsidRPr="001A0E92">
        <w:t>個工作機會。另</w:t>
      </w:r>
      <w:r w:rsidRPr="001A0E92">
        <w:t>Valaliky</w:t>
      </w:r>
      <w:r w:rsidRPr="001A0E92">
        <w:t>工業區位於斯國東部</w:t>
      </w:r>
      <w:r w:rsidRPr="001A0E92">
        <w:t>Kocise</w:t>
      </w:r>
      <w:r w:rsidRPr="001A0E92">
        <w:t>附近，投資總額高達</w:t>
      </w:r>
      <w:r w:rsidRPr="001A0E92">
        <w:t>1.21</w:t>
      </w:r>
      <w:r w:rsidRPr="001A0E92">
        <w:t>億歐元，亦由國營</w:t>
      </w:r>
      <w:r w:rsidRPr="001A0E92">
        <w:t>MH Invest</w:t>
      </w:r>
      <w:r w:rsidRPr="001A0E92">
        <w:t>公司進行。</w:t>
      </w:r>
    </w:p>
    <w:p w:rsidR="004F0E9D" w:rsidRPr="001A0E92" w:rsidRDefault="004F0E9D" w:rsidP="00E04D75">
      <w:pPr>
        <w:pStyle w:val="af8"/>
        <w:ind w:left="944" w:hanging="708"/>
      </w:pPr>
      <w:r w:rsidRPr="001A0E92">
        <w:t>（二）園區之電力輸配設備由</w:t>
      </w:r>
      <w:r w:rsidRPr="001A0E92">
        <w:t>Stredoslovenská distribučná</w:t>
      </w:r>
      <w:r w:rsidRPr="001A0E92">
        <w:t>（</w:t>
      </w:r>
      <w:r w:rsidRPr="001A0E92">
        <w:t>SSD</w:t>
      </w:r>
      <w:r w:rsidRPr="001A0E92">
        <w:t>）電力公司興建，項目包括高壓電纜、遠端遙控變電所等園區基礎電力設備，提供園區約</w:t>
      </w:r>
      <w:r w:rsidRPr="001A0E92">
        <w:t>15MW</w:t>
      </w:r>
      <w:r w:rsidRPr="001A0E92">
        <w:t>的電力。</w:t>
      </w:r>
    </w:p>
    <w:p w:rsidR="004F0E9D" w:rsidRPr="001A0E92" w:rsidRDefault="004F0E9D" w:rsidP="00E04D75">
      <w:pPr>
        <w:pStyle w:val="af8"/>
        <w:ind w:left="944" w:hanging="708"/>
      </w:pPr>
      <w:r w:rsidRPr="001A0E92">
        <w:t>（三）聯外交通方面，斯國政府亦興建連結西部</w:t>
      </w:r>
      <w:r w:rsidRPr="001A0E92">
        <w:t>Trencin</w:t>
      </w:r>
      <w:r w:rsidRPr="001A0E92">
        <w:t>省至東部</w:t>
      </w:r>
      <w:r w:rsidRPr="001A0E92">
        <w:t>Kosice</w:t>
      </w:r>
      <w:r w:rsidRPr="001A0E92">
        <w:t>省，總長約</w:t>
      </w:r>
      <w:r w:rsidRPr="001A0E92">
        <w:t>303</w:t>
      </w:r>
      <w:r w:rsidRPr="001A0E92">
        <w:t>公里的</w:t>
      </w:r>
      <w:r w:rsidRPr="001A0E92">
        <w:t>R2</w:t>
      </w:r>
      <w:r w:rsidRPr="001A0E92">
        <w:t>高速公路，以便利</w:t>
      </w:r>
      <w:r w:rsidRPr="001A0E92">
        <w:t>Rimavska Sobota</w:t>
      </w:r>
      <w:r w:rsidRPr="001A0E92">
        <w:t>產業園區聯外交通。</w:t>
      </w:r>
      <w:r w:rsidRPr="001A0E92">
        <w:t>Pstruša</w:t>
      </w:r>
      <w:r w:rsidRPr="001A0E92">
        <w:t>及</w:t>
      </w:r>
      <w:r w:rsidRPr="001A0E92">
        <w:t>Kriváň</w:t>
      </w:r>
      <w:r w:rsidRPr="001A0E92">
        <w:t>間路段已於</w:t>
      </w:r>
      <w:r w:rsidRPr="001A0E92">
        <w:t>2022</w:t>
      </w:r>
      <w:r w:rsidRPr="001A0E92">
        <w:t>年</w:t>
      </w:r>
      <w:r w:rsidRPr="001A0E92">
        <w:t>11</w:t>
      </w:r>
      <w:r w:rsidRPr="001A0E92">
        <w:t>月開通。</w:t>
      </w:r>
    </w:p>
    <w:p w:rsidR="004F0E9D" w:rsidRPr="001A0E92" w:rsidRDefault="004F0E9D" w:rsidP="00715206">
      <w:pPr>
        <w:pStyle w:val="af3"/>
        <w:spacing w:before="257" w:after="257"/>
        <w:ind w:left="632" w:hanging="632"/>
        <w:rPr>
          <w:color w:val="auto"/>
        </w:rPr>
      </w:pPr>
      <w:r w:rsidRPr="001A0E92">
        <w:rPr>
          <w:color w:val="auto"/>
        </w:rPr>
        <w:t>二、水、電、天然氣</w:t>
      </w:r>
    </w:p>
    <w:p w:rsidR="004F0E9D" w:rsidRPr="001A0E92" w:rsidRDefault="004F0E9D" w:rsidP="00E04D75">
      <w:pPr>
        <w:pStyle w:val="af8"/>
        <w:ind w:left="944" w:hanging="708"/>
      </w:pPr>
      <w:r w:rsidRPr="001A0E92">
        <w:t>（一）水</w:t>
      </w:r>
    </w:p>
    <w:p w:rsidR="004F0E9D" w:rsidRPr="001A0E92" w:rsidRDefault="004F0E9D" w:rsidP="00715206">
      <w:pPr>
        <w:pStyle w:val="af9"/>
        <w:kinsoku w:val="0"/>
        <w:wordWrap w:val="0"/>
        <w:ind w:left="944" w:firstLine="472"/>
      </w:pPr>
      <w:r w:rsidRPr="001A0E92">
        <w:t>根據</w:t>
      </w:r>
      <w:r w:rsidRPr="001A0E92">
        <w:t>OECD</w:t>
      </w:r>
      <w:r w:rsidRPr="001A0E92">
        <w:t>數據，斯國水價（不含增值稅）的飲用水供應平均價格為每立方米</w:t>
      </w:r>
      <w:r w:rsidRPr="001A0E92">
        <w:t>1.05</w:t>
      </w:r>
      <w:r w:rsidRPr="001A0E92">
        <w:t>歐元，包括污水處理在內的（不含增值稅）平均價格為每立方米</w:t>
      </w:r>
      <w:r w:rsidRPr="001A0E92">
        <w:t>1</w:t>
      </w:r>
      <w:r w:rsidRPr="001A0E92">
        <w:t>歐元。斯國首府水費主管機關為</w:t>
      </w:r>
      <w:r w:rsidRPr="001A0E92">
        <w:t>BVS</w:t>
      </w:r>
      <w:r w:rsidRPr="001A0E92">
        <w:t>公司（</w:t>
      </w:r>
      <w:r w:rsidRPr="001A0E92">
        <w:t>http</w:t>
      </w:r>
      <w:r w:rsidRPr="001A0E92">
        <w:t>：</w:t>
      </w:r>
      <w:r w:rsidRPr="001A0E92">
        <w:t>//www.bvsas.sk/sk/zakaznicka-zona/cennik/</w:t>
      </w:r>
      <w:r w:rsidRPr="001A0E92">
        <w:t>），垃圾收費為</w:t>
      </w:r>
      <w:r w:rsidRPr="001A0E92">
        <w:t>OLO</w:t>
      </w:r>
      <w:r w:rsidRPr="001A0E92">
        <w:t>〈係奧地利</w:t>
      </w:r>
      <w:r w:rsidRPr="001A0E92">
        <w:t>OLO</w:t>
      </w:r>
      <w:r w:rsidRPr="001A0E92">
        <w:t>公司在斯國之子公司〉。</w:t>
      </w:r>
    </w:p>
    <w:p w:rsidR="004F0E9D" w:rsidRPr="001A0E92" w:rsidRDefault="00E04D75" w:rsidP="00E04D75">
      <w:pPr>
        <w:pStyle w:val="af8"/>
        <w:ind w:left="944" w:hanging="708"/>
      </w:pPr>
      <w:r w:rsidRPr="001A0E92">
        <w:rPr>
          <w:rFonts w:hint="eastAsia"/>
        </w:rPr>
        <w:t>（二）</w:t>
      </w:r>
      <w:r w:rsidR="004F0E9D" w:rsidRPr="001A0E92">
        <w:t>電</w:t>
      </w:r>
    </w:p>
    <w:p w:rsidR="004F0E9D" w:rsidRPr="001A0E92" w:rsidRDefault="004F0E9D" w:rsidP="00E04D75">
      <w:pPr>
        <w:pStyle w:val="af9"/>
        <w:ind w:left="944" w:firstLine="472"/>
      </w:pPr>
      <w:r w:rsidRPr="001A0E92">
        <w:t>根據「斯洛伐克</w:t>
      </w:r>
      <w:r w:rsidRPr="001A0E92">
        <w:t>2021</w:t>
      </w:r>
      <w:r w:rsidRPr="001A0E92">
        <w:t>至</w:t>
      </w:r>
      <w:r w:rsidRPr="001A0E92">
        <w:t>2030</w:t>
      </w:r>
      <w:r w:rsidRPr="001A0E92">
        <w:t>國家能源及氣候計畫」（</w:t>
      </w:r>
      <w:r w:rsidRPr="001A0E92">
        <w:t>Integrated National Energy and Climate Plan for the Years 2021 - 2030</w:t>
      </w:r>
      <w:r w:rsidRPr="001A0E92">
        <w:t>），具競爭力的低碳經濟為斯國長期能源計畫重點，國家將積極進行提高能源效率轉型建設，如建造再生能源及廢物利用的廠房，以及採低排放源或替代燃料以取代燃煤，並於</w:t>
      </w:r>
      <w:r w:rsidRPr="001A0E92">
        <w:t>2035</w:t>
      </w:r>
      <w:r w:rsidRPr="001A0E92">
        <w:t>年達到歐盟廢棄物管理目標（如家庭廢棄物回收目標</w:t>
      </w:r>
      <w:r w:rsidRPr="001A0E92">
        <w:t>65%</w:t>
      </w:r>
      <w:r w:rsidRPr="001A0E92">
        <w:t>及包裝廢棄物回收</w:t>
      </w:r>
      <w:r w:rsidRPr="001A0E92">
        <w:t>75%</w:t>
      </w:r>
      <w:r w:rsidRPr="001A0E92">
        <w:t>）。斯洛伐克並為歐盟成員國中第一批正式向聯合國提交長期戰略的國家之一，其目標為於</w:t>
      </w:r>
      <w:r w:rsidRPr="001A0E92">
        <w:t>2050</w:t>
      </w:r>
      <w:r w:rsidRPr="001A0E92">
        <w:t>年實現碳中和。</w:t>
      </w:r>
    </w:p>
    <w:p w:rsidR="004F0E9D" w:rsidRPr="001A0E92" w:rsidRDefault="004F0E9D" w:rsidP="00E04D75">
      <w:pPr>
        <w:pStyle w:val="af9"/>
        <w:ind w:left="944" w:firstLine="472"/>
      </w:pPr>
      <w:r w:rsidRPr="001A0E92">
        <w:t>因應能源價格上升對斯國民生及經濟發展造成的衝擊，斯國政府將於</w:t>
      </w:r>
      <w:r w:rsidRPr="001A0E92">
        <w:t>2023</w:t>
      </w:r>
      <w:r w:rsidRPr="001A0E92">
        <w:t>年期間實施電價補助措施，以電力每兆瓦時（</w:t>
      </w:r>
      <w:r w:rsidRPr="001A0E92">
        <w:t>MWh</w:t>
      </w:r>
      <w:r w:rsidRPr="001A0E92">
        <w:t>）</w:t>
      </w:r>
      <w:r w:rsidRPr="001A0E92">
        <w:t>199</w:t>
      </w:r>
      <w:r w:rsidRPr="001A0E92">
        <w:t>歐元為基礎，超過該數額之價格之</w:t>
      </w:r>
      <w:r w:rsidRPr="001A0E92">
        <w:t>80%</w:t>
      </w:r>
      <w:r w:rsidRPr="001A0E92">
        <w:t>將由政府支付，以減輕企業之負擔。</w:t>
      </w:r>
    </w:p>
    <w:p w:rsidR="004F0E9D" w:rsidRPr="001A0E92" w:rsidRDefault="004F0E9D" w:rsidP="00E04D75">
      <w:pPr>
        <w:pStyle w:val="af9"/>
        <w:ind w:left="944" w:firstLine="472"/>
      </w:pPr>
      <w:r w:rsidRPr="001A0E92">
        <w:t>斯國電力主要消費產業為工業和商業部門，年用電量從</w:t>
      </w:r>
      <w:r w:rsidRPr="001A0E92">
        <w:t>2010</w:t>
      </w:r>
      <w:r w:rsidRPr="001A0E92">
        <w:t>年的</w:t>
      </w:r>
      <w:r w:rsidRPr="001A0E92">
        <w:t>24.9</w:t>
      </w:r>
      <w:r w:rsidRPr="001A0E92">
        <w:t>太瓦時（</w:t>
      </w:r>
      <w:r w:rsidRPr="001A0E92">
        <w:t>TWh</w:t>
      </w:r>
      <w:r w:rsidRPr="001A0E92">
        <w:t>）增加到</w:t>
      </w:r>
      <w:r w:rsidRPr="001A0E92">
        <w:t>2021</w:t>
      </w:r>
      <w:r w:rsidRPr="001A0E92">
        <w:t>年的</w:t>
      </w:r>
      <w:r w:rsidRPr="001A0E92">
        <w:t>26.4 TWh</w:t>
      </w:r>
      <w:r w:rsidRPr="001A0E92">
        <w:t>，複合年增長率為</w:t>
      </w:r>
      <w:r w:rsidRPr="001A0E92">
        <w:t>0.5%</w:t>
      </w:r>
      <w:r w:rsidRPr="001A0E92">
        <w:t>。預計至</w:t>
      </w:r>
      <w:r w:rsidRPr="001A0E92">
        <w:t>2030</w:t>
      </w:r>
      <w:r w:rsidRPr="001A0E92">
        <w:t>年用電量將達到</w:t>
      </w:r>
      <w:r w:rsidRPr="001A0E92">
        <w:t>28.6 TWh</w:t>
      </w:r>
    </w:p>
    <w:p w:rsidR="004F0E9D" w:rsidRPr="001A0E92" w:rsidRDefault="004F0E9D" w:rsidP="00E04D75">
      <w:pPr>
        <w:pStyle w:val="af9"/>
        <w:ind w:left="944" w:firstLine="472"/>
      </w:pPr>
      <w:r w:rsidRPr="001A0E92">
        <w:t>斯國為電力淨進口國，</w:t>
      </w:r>
      <w:r w:rsidRPr="001A0E92">
        <w:t>2021</w:t>
      </w:r>
      <w:r w:rsidRPr="001A0E92">
        <w:t>年的電力淨進口量約為</w:t>
      </w:r>
      <w:r w:rsidRPr="001A0E92">
        <w:t>0.7 TWh</w:t>
      </w:r>
      <w:r w:rsidRPr="001A0E92">
        <w:t>，主要為滿足熱燃料需求，且大部分天然氣需自俄羅斯進口，儘管斯國擁有良好的潛在煤炭儲量，但這些目前無法開採，使其</w:t>
      </w:r>
      <w:r w:rsidRPr="001A0E92">
        <w:t>90%</w:t>
      </w:r>
      <w:r w:rsidRPr="001A0E92">
        <w:t>以上的煤炭資源依賴進口。爰短期內將繼續依賴核能發電。</w:t>
      </w:r>
      <w:r w:rsidRPr="001A0E92">
        <w:t>2023</w:t>
      </w:r>
      <w:r w:rsidRPr="001A0E92">
        <w:t>年</w:t>
      </w:r>
      <w:r w:rsidRPr="001A0E92">
        <w:t>4</w:t>
      </w:r>
      <w:r w:rsidRPr="001A0E92">
        <w:t>月，烏克蘭電網業者宣布開始向斯洛伐克出口每小時</w:t>
      </w:r>
      <w:r w:rsidRPr="001A0E92">
        <w:t>200</w:t>
      </w:r>
      <w:r w:rsidRPr="001A0E92">
        <w:t>兆瓦的電力，另烏國來自斯國的小規模進口亦恢復（每小時約</w:t>
      </w:r>
      <w:r w:rsidRPr="001A0E92">
        <w:t>2-4</w:t>
      </w:r>
      <w:r w:rsidRPr="001A0E92">
        <w:t>兆瓦），即便戰爭持續，烏國在電力過剩的情況下已恢復對歐洲的電力出口。</w:t>
      </w:r>
    </w:p>
    <w:p w:rsidR="004F0E9D" w:rsidRPr="001A0E92" w:rsidRDefault="004F0E9D" w:rsidP="00E04D75">
      <w:pPr>
        <w:pStyle w:val="af9"/>
        <w:ind w:left="944" w:firstLine="472"/>
      </w:pPr>
      <w:r w:rsidRPr="001A0E92">
        <w:t>2022</w:t>
      </w:r>
      <w:r w:rsidRPr="001A0E92">
        <w:t>年俄烏戰爭以來，斯國亟欲減少對俄羅斯能源依賴，並尋找其他的替代來源。目前斯國自俄羅斯進口天然氣</w:t>
      </w:r>
      <w:r w:rsidR="005A5E4E" w:rsidRPr="001A0E92">
        <w:t>占</w:t>
      </w:r>
      <w:r w:rsidRPr="001A0E92">
        <w:t>比為</w:t>
      </w:r>
      <w:r w:rsidRPr="001A0E92">
        <w:t>60%</w:t>
      </w:r>
      <w:r w:rsidRPr="001A0E92">
        <w:t>（原為</w:t>
      </w:r>
      <w:r w:rsidRPr="001A0E92">
        <w:t>85%</w:t>
      </w:r>
      <w:r w:rsidRPr="001A0E92">
        <w:t>）、石油及所有核燃料</w:t>
      </w:r>
      <w:r w:rsidR="005A5E4E" w:rsidRPr="001A0E92">
        <w:t>占</w:t>
      </w:r>
      <w:r w:rsidRPr="001A0E92">
        <w:t>95%</w:t>
      </w:r>
      <w:r w:rsidRPr="001A0E92">
        <w:t>（原為</w:t>
      </w:r>
      <w:r w:rsidRPr="001A0E92">
        <w:t>100%</w:t>
      </w:r>
      <w:r w:rsidRPr="001A0E92">
        <w:t>）。</w:t>
      </w:r>
    </w:p>
    <w:p w:rsidR="004F0E9D" w:rsidRPr="001A0E92" w:rsidRDefault="004F0E9D" w:rsidP="00E04D75">
      <w:pPr>
        <w:pStyle w:val="af9"/>
        <w:ind w:left="944" w:firstLine="472"/>
      </w:pPr>
      <w:r w:rsidRPr="001A0E92">
        <w:t>以下簡述斯國綠色能源概況：</w:t>
      </w:r>
    </w:p>
    <w:p w:rsidR="00715206" w:rsidRPr="001A0E92" w:rsidRDefault="00715206" w:rsidP="00715206">
      <w:pPr>
        <w:pStyle w:val="afb"/>
        <w:ind w:left="1416" w:hanging="472"/>
      </w:pPr>
      <w:r w:rsidRPr="001A0E92">
        <w:rPr>
          <w:rFonts w:hint="eastAsia"/>
        </w:rPr>
        <w:t>１、</w:t>
      </w:r>
      <w:r w:rsidRPr="001A0E92">
        <w:rPr>
          <w:rFonts w:hint="eastAsia"/>
        </w:rPr>
        <w:tab/>
      </w:r>
      <w:r w:rsidRPr="001A0E92">
        <w:rPr>
          <w:rFonts w:hint="eastAsia"/>
        </w:rPr>
        <w:t>核電：</w:t>
      </w:r>
    </w:p>
    <w:p w:rsidR="00715206" w:rsidRPr="001A0E92" w:rsidRDefault="00715206" w:rsidP="00715206">
      <w:pPr>
        <w:pStyle w:val="12"/>
        <w:ind w:left="2006" w:hanging="590"/>
      </w:pPr>
      <w:r w:rsidRPr="001A0E92">
        <w:rPr>
          <w:rFonts w:hint="eastAsia"/>
        </w:rPr>
        <w:t>（</w:t>
      </w:r>
      <w:r w:rsidRPr="001A0E92">
        <w:rPr>
          <w:rFonts w:hint="eastAsia"/>
        </w:rPr>
        <w:t>1</w:t>
      </w:r>
      <w:r w:rsidRPr="001A0E92">
        <w:rPr>
          <w:rFonts w:hint="eastAsia"/>
        </w:rPr>
        <w:t>）</w:t>
      </w:r>
      <w:r w:rsidRPr="001A0E92">
        <w:rPr>
          <w:rFonts w:hint="eastAsia"/>
        </w:rPr>
        <w:tab/>
      </w:r>
      <w:r w:rsidRPr="001A0E92">
        <w:rPr>
          <w:rFonts w:hint="eastAsia"/>
        </w:rPr>
        <w:t>根據</w:t>
      </w:r>
      <w:r w:rsidRPr="001A0E92">
        <w:rPr>
          <w:rFonts w:hint="eastAsia"/>
        </w:rPr>
        <w:t>GlobalData</w:t>
      </w:r>
      <w:r w:rsidRPr="001A0E92">
        <w:rPr>
          <w:rFonts w:hint="eastAsia"/>
        </w:rPr>
        <w:t>的最新報告《</w:t>
      </w:r>
      <w:r w:rsidRPr="001A0E92">
        <w:rPr>
          <w:rFonts w:hint="eastAsia"/>
        </w:rPr>
        <w:t>2035</w:t>
      </w:r>
      <w:r w:rsidRPr="001A0E92">
        <w:rPr>
          <w:rFonts w:hint="eastAsia"/>
        </w:rPr>
        <w:t>年斯洛伐克電力市場展望，</w:t>
      </w:r>
      <w:r w:rsidRPr="001A0E92">
        <w:rPr>
          <w:rFonts w:hint="eastAsia"/>
        </w:rPr>
        <w:t>2022</w:t>
      </w:r>
      <w:r w:rsidRPr="001A0E92">
        <w:rPr>
          <w:rFonts w:hint="eastAsia"/>
        </w:rPr>
        <w:t>年更新——市場趨勢、法規和競爭》，斯洛伐克目前以核能為主要發電來源，並預計至</w:t>
      </w:r>
      <w:r w:rsidRPr="001A0E92">
        <w:rPr>
          <w:rFonts w:hint="eastAsia"/>
        </w:rPr>
        <w:t>2035</w:t>
      </w:r>
      <w:r w:rsidRPr="001A0E92">
        <w:rPr>
          <w:rFonts w:hint="eastAsia"/>
        </w:rPr>
        <w:t>年核能發電將占全國總發電量的</w:t>
      </w:r>
      <w:r w:rsidRPr="001A0E92">
        <w:rPr>
          <w:rFonts w:hint="eastAsia"/>
        </w:rPr>
        <w:t>64.9%</w:t>
      </w:r>
      <w:r w:rsidRPr="001A0E92">
        <w:rPr>
          <w:rFonts w:hint="eastAsia"/>
        </w:rPr>
        <w:t>。</w:t>
      </w:r>
    </w:p>
    <w:p w:rsidR="00715206" w:rsidRPr="001A0E92" w:rsidRDefault="00715206" w:rsidP="00715206">
      <w:pPr>
        <w:pStyle w:val="12"/>
        <w:ind w:left="2006" w:hanging="590"/>
      </w:pPr>
      <w:r w:rsidRPr="001A0E92">
        <w:rPr>
          <w:rFonts w:hint="eastAsia"/>
        </w:rPr>
        <w:t>（</w:t>
      </w:r>
      <w:r w:rsidRPr="001A0E92">
        <w:rPr>
          <w:rFonts w:hint="eastAsia"/>
        </w:rPr>
        <w:t>2</w:t>
      </w:r>
      <w:r w:rsidRPr="001A0E92">
        <w:rPr>
          <w:rFonts w:hint="eastAsia"/>
        </w:rPr>
        <w:t>）</w:t>
      </w:r>
      <w:r w:rsidRPr="001A0E92">
        <w:rPr>
          <w:rFonts w:hint="eastAsia"/>
          <w:spacing w:val="-4"/>
          <w:kern w:val="24"/>
        </w:rPr>
        <w:tab/>
      </w:r>
      <w:r w:rsidRPr="001A0E92">
        <w:rPr>
          <w:rFonts w:hint="eastAsia"/>
          <w:spacing w:val="-4"/>
          <w:kern w:val="24"/>
        </w:rPr>
        <w:t>斯國主張歐盟將核能列為永續技術（</w:t>
      </w:r>
      <w:r w:rsidRPr="001A0E92">
        <w:rPr>
          <w:rFonts w:hint="eastAsia"/>
          <w:spacing w:val="-4"/>
          <w:kern w:val="24"/>
        </w:rPr>
        <w:t>sustainable technologies</w:t>
      </w:r>
      <w:r w:rsidRPr="001A0E92">
        <w:rPr>
          <w:rFonts w:hint="eastAsia"/>
          <w:spacing w:val="-4"/>
          <w:kern w:val="24"/>
        </w:rPr>
        <w:t>），</w:t>
      </w:r>
      <w:r w:rsidRPr="001A0E92">
        <w:rPr>
          <w:rFonts w:hint="eastAsia"/>
        </w:rPr>
        <w:t>並認為核能係支持氣候中和及減少碳排的工具之一。斯國核能發電占全國電力總供應量之</w:t>
      </w:r>
      <w:r w:rsidRPr="001A0E92">
        <w:rPr>
          <w:rFonts w:hint="eastAsia"/>
        </w:rPr>
        <w:t>55%</w:t>
      </w:r>
      <w:r w:rsidRPr="001A0E92">
        <w:rPr>
          <w:rFonts w:hint="eastAsia"/>
        </w:rPr>
        <w:t>，目前計有</w:t>
      </w:r>
      <w:r w:rsidRPr="001A0E92">
        <w:rPr>
          <w:rFonts w:hint="eastAsia"/>
        </w:rPr>
        <w:t>Bohunice 3</w:t>
      </w:r>
      <w:r w:rsidRPr="001A0E92">
        <w:rPr>
          <w:rFonts w:hint="eastAsia"/>
        </w:rPr>
        <w:t>及</w:t>
      </w:r>
      <w:r w:rsidRPr="001A0E92">
        <w:rPr>
          <w:rFonts w:hint="eastAsia"/>
        </w:rPr>
        <w:t>4</w:t>
      </w:r>
      <w:r w:rsidRPr="001A0E92">
        <w:rPr>
          <w:rFonts w:hint="eastAsia"/>
        </w:rPr>
        <w:t>、</w:t>
      </w:r>
      <w:r w:rsidRPr="001A0E92">
        <w:rPr>
          <w:rFonts w:hint="eastAsia"/>
        </w:rPr>
        <w:t>Mochovce 1</w:t>
      </w:r>
      <w:r w:rsidRPr="001A0E92">
        <w:rPr>
          <w:rFonts w:hint="eastAsia"/>
        </w:rPr>
        <w:t>、</w:t>
      </w:r>
      <w:r w:rsidRPr="001A0E92">
        <w:rPr>
          <w:rFonts w:hint="eastAsia"/>
        </w:rPr>
        <w:t>2</w:t>
      </w:r>
      <w:r w:rsidRPr="001A0E92">
        <w:rPr>
          <w:rFonts w:hint="eastAsia"/>
        </w:rPr>
        <w:t>、</w:t>
      </w:r>
      <w:r w:rsidRPr="001A0E92">
        <w:rPr>
          <w:rFonts w:hint="eastAsia"/>
        </w:rPr>
        <w:t>3</w:t>
      </w:r>
      <w:r w:rsidRPr="001A0E92">
        <w:rPr>
          <w:rFonts w:hint="eastAsia"/>
        </w:rPr>
        <w:t>等</w:t>
      </w:r>
      <w:r w:rsidRPr="001A0E92">
        <w:rPr>
          <w:rFonts w:hint="eastAsia"/>
        </w:rPr>
        <w:t>5</w:t>
      </w:r>
      <w:r w:rsidRPr="001A0E92">
        <w:rPr>
          <w:rFonts w:hint="eastAsia"/>
        </w:rPr>
        <w:t>個機組，另有</w:t>
      </w:r>
      <w:r w:rsidRPr="001A0E92">
        <w:rPr>
          <w:rFonts w:hint="eastAsia"/>
        </w:rPr>
        <w:t>Mochoviec 4</w:t>
      </w:r>
      <w:r w:rsidRPr="001A0E92">
        <w:rPr>
          <w:rFonts w:hint="eastAsia"/>
        </w:rPr>
        <w:t>刻正興建中，完成後斯國核能發電占總發電量將從</w:t>
      </w:r>
      <w:r w:rsidRPr="001A0E92">
        <w:rPr>
          <w:rFonts w:hint="eastAsia"/>
        </w:rPr>
        <w:t>55%</w:t>
      </w:r>
      <w:r w:rsidRPr="001A0E92">
        <w:rPr>
          <w:rFonts w:hint="eastAsia"/>
        </w:rPr>
        <w:t>提升到</w:t>
      </w:r>
      <w:r w:rsidRPr="001A0E92">
        <w:rPr>
          <w:rFonts w:hint="eastAsia"/>
        </w:rPr>
        <w:t>70%</w:t>
      </w:r>
      <w:r w:rsidRPr="001A0E92">
        <w:rPr>
          <w:rFonts w:hint="eastAsia"/>
        </w:rPr>
        <w:t>，並從</w:t>
      </w:r>
      <w:r w:rsidRPr="001A0E92">
        <w:rPr>
          <w:rFonts w:hint="eastAsia"/>
        </w:rPr>
        <w:t>2023</w:t>
      </w:r>
      <w:r w:rsidRPr="001A0E92">
        <w:rPr>
          <w:rFonts w:hint="eastAsia"/>
        </w:rPr>
        <w:t>年起啟動火力發電廠關閉作業。</w:t>
      </w:r>
    </w:p>
    <w:p w:rsidR="00715206" w:rsidRPr="001A0E92" w:rsidRDefault="00715206" w:rsidP="00715206">
      <w:pPr>
        <w:pStyle w:val="afb"/>
        <w:ind w:left="1416" w:hanging="472"/>
      </w:pPr>
      <w:r w:rsidRPr="001A0E92">
        <w:rPr>
          <w:rFonts w:hint="eastAsia"/>
        </w:rPr>
        <w:t>２、再生能源：</w:t>
      </w:r>
    </w:p>
    <w:p w:rsidR="00715206" w:rsidRPr="001A0E92" w:rsidRDefault="00715206" w:rsidP="00715206">
      <w:pPr>
        <w:pStyle w:val="12"/>
        <w:ind w:left="2006" w:hanging="590"/>
      </w:pPr>
      <w:r w:rsidRPr="001A0E92">
        <w:rPr>
          <w:rFonts w:hint="eastAsia"/>
        </w:rPr>
        <w:t>（</w:t>
      </w:r>
      <w:r w:rsidRPr="001A0E92">
        <w:rPr>
          <w:rFonts w:hint="eastAsia"/>
        </w:rPr>
        <w:t>1</w:t>
      </w:r>
      <w:r w:rsidRPr="001A0E92">
        <w:rPr>
          <w:rFonts w:hint="eastAsia"/>
        </w:rPr>
        <w:t>）</w:t>
      </w:r>
      <w:r w:rsidRPr="001A0E92">
        <w:rPr>
          <w:rFonts w:hint="eastAsia"/>
        </w:rPr>
        <w:tab/>
      </w:r>
      <w:r w:rsidRPr="001A0E92">
        <w:rPr>
          <w:rFonts w:hint="eastAsia"/>
        </w:rPr>
        <w:t>斯國配合歐盟氣候政策，將於現代化基金及彈性及復甦計畫下推動產業減碳及電動車充電站之設置，在</w:t>
      </w:r>
      <w:r w:rsidRPr="001A0E92">
        <w:rPr>
          <w:rFonts w:hint="eastAsia"/>
        </w:rPr>
        <w:t>2026</w:t>
      </w:r>
      <w:r w:rsidRPr="001A0E92">
        <w:rPr>
          <w:rFonts w:hint="eastAsia"/>
        </w:rPr>
        <w:t>年前減少</w:t>
      </w:r>
      <w:r w:rsidRPr="001A0E92">
        <w:rPr>
          <w:rFonts w:hint="eastAsia"/>
        </w:rPr>
        <w:t>260</w:t>
      </w:r>
      <w:r w:rsidRPr="001A0E92">
        <w:rPr>
          <w:rFonts w:hint="eastAsia"/>
        </w:rPr>
        <w:t>萬噸二氧化碳排放量。經濟部涉及再生能源、能源效率、基礎建設等議題，</w:t>
      </w:r>
      <w:r w:rsidRPr="001A0E92">
        <w:rPr>
          <w:rFonts w:hint="eastAsia"/>
        </w:rPr>
        <w:t>Fit for 55</w:t>
      </w:r>
      <w:r w:rsidRPr="001A0E92">
        <w:rPr>
          <w:rFonts w:hint="eastAsia"/>
        </w:rPr>
        <w:t>草案</w:t>
      </w:r>
      <w:r w:rsidRPr="001A0E92">
        <w:rPr>
          <w:rFonts w:hint="eastAsia"/>
        </w:rPr>
        <w:t>40</w:t>
      </w:r>
      <w:r w:rsidRPr="001A0E92">
        <w:rPr>
          <w:rFonts w:hint="eastAsia"/>
        </w:rPr>
        <w:t>至</w:t>
      </w:r>
      <w:r w:rsidRPr="001A0E92">
        <w:rPr>
          <w:rFonts w:hint="eastAsia"/>
        </w:rPr>
        <w:t>50</w:t>
      </w:r>
      <w:r w:rsidRPr="001A0E92">
        <w:rPr>
          <w:rFonts w:hint="eastAsia"/>
        </w:rPr>
        <w:t>個子議題（</w:t>
      </w:r>
      <w:r w:rsidRPr="001A0E92">
        <w:rPr>
          <w:rFonts w:hint="eastAsia"/>
        </w:rPr>
        <w:t>proposals</w:t>
      </w:r>
      <w:r w:rsidRPr="001A0E92">
        <w:rPr>
          <w:rFonts w:hint="eastAsia"/>
        </w:rPr>
        <w:t>）中幾乎都有關該部執掌；環境部主管汽車排碳立法；財政部則與碳邊境調節機制（</w:t>
      </w:r>
      <w:r w:rsidRPr="001A0E92">
        <w:rPr>
          <w:rFonts w:hint="eastAsia"/>
        </w:rPr>
        <w:t>CBAM</w:t>
      </w:r>
      <w:r w:rsidRPr="001A0E92">
        <w:rPr>
          <w:rFonts w:hint="eastAsia"/>
        </w:rPr>
        <w:t>）有關。</w:t>
      </w:r>
    </w:p>
    <w:p w:rsidR="00715206" w:rsidRPr="001A0E92" w:rsidRDefault="00715206" w:rsidP="00715206">
      <w:pPr>
        <w:pStyle w:val="12"/>
        <w:ind w:left="2006" w:hanging="590"/>
      </w:pPr>
      <w:r w:rsidRPr="001A0E92">
        <w:rPr>
          <w:rFonts w:hint="eastAsia"/>
        </w:rPr>
        <w:t>（</w:t>
      </w:r>
      <w:r w:rsidRPr="001A0E92">
        <w:rPr>
          <w:rFonts w:hint="eastAsia"/>
        </w:rPr>
        <w:t>2</w:t>
      </w:r>
      <w:r w:rsidRPr="001A0E92">
        <w:rPr>
          <w:rFonts w:hint="eastAsia"/>
        </w:rPr>
        <w:t>）</w:t>
      </w:r>
      <w:r w:rsidRPr="001A0E92">
        <w:rPr>
          <w:rFonts w:hint="eastAsia"/>
        </w:rPr>
        <w:tab/>
      </w:r>
      <w:r w:rsidRPr="001A0E92">
        <w:rPr>
          <w:rFonts w:hint="eastAsia"/>
        </w:rPr>
        <w:t>永續能源政策：能源政策為斯國經濟部重點業務。所擬訂「斯國能源政策草案」規劃斯國</w:t>
      </w:r>
      <w:r w:rsidRPr="001A0E92">
        <w:rPr>
          <w:rFonts w:hint="eastAsia"/>
        </w:rPr>
        <w:t>2035</w:t>
      </w:r>
      <w:r w:rsidRPr="001A0E92">
        <w:rPr>
          <w:rFonts w:hint="eastAsia"/>
        </w:rPr>
        <w:t>年之能源發展架構及目標，致力發展斯國低碳且具競爭力之經濟體，並與匈牙利、波蘭及奧地利建立瓦斯網絡。另斯國經濟部持續發展氫氣相關技術研發，訂有國家氫戰略（</w:t>
      </w:r>
      <w:r w:rsidRPr="001A0E92">
        <w:rPr>
          <w:rFonts w:hint="eastAsia"/>
        </w:rPr>
        <w:t>National Hydrogen Strategy</w:t>
      </w:r>
      <w:r w:rsidRPr="001A0E92">
        <w:rPr>
          <w:rFonts w:hint="eastAsia"/>
        </w:rPr>
        <w:t>），確認國家利用氫技術之戰略計畫。</w:t>
      </w:r>
      <w:r w:rsidRPr="001A0E92">
        <w:rPr>
          <w:rFonts w:hint="eastAsia"/>
        </w:rPr>
        <w:t>2021</w:t>
      </w:r>
      <w:r w:rsidRPr="001A0E92">
        <w:rPr>
          <w:rFonts w:hint="eastAsia"/>
        </w:rPr>
        <w:t>年</w:t>
      </w:r>
      <w:r w:rsidRPr="001A0E92">
        <w:rPr>
          <w:rFonts w:hint="eastAsia"/>
        </w:rPr>
        <w:t>9</w:t>
      </w:r>
      <w:r w:rsidRPr="001A0E92">
        <w:rPr>
          <w:rFonts w:hint="eastAsia"/>
        </w:rPr>
        <w:t>月該部於</w:t>
      </w:r>
      <w:r w:rsidRPr="001A0E92">
        <w:rPr>
          <w:rFonts w:hint="eastAsia"/>
        </w:rPr>
        <w:t>Bratislava</w:t>
      </w:r>
      <w:r w:rsidRPr="001A0E92">
        <w:rPr>
          <w:rFonts w:hint="eastAsia"/>
        </w:rPr>
        <w:t>及</w:t>
      </w:r>
      <w:r w:rsidRPr="001A0E92">
        <w:rPr>
          <w:rFonts w:hint="eastAsia"/>
        </w:rPr>
        <w:t>Kosice</w:t>
      </w:r>
      <w:r w:rsidRPr="001A0E92">
        <w:rPr>
          <w:rFonts w:hint="eastAsia"/>
        </w:rPr>
        <w:t>加裝氫氣加氣站，另斯國</w:t>
      </w:r>
      <w:r w:rsidRPr="001A0E92">
        <w:rPr>
          <w:rFonts w:hint="eastAsia"/>
        </w:rPr>
        <w:t>BCF Energy</w:t>
      </w:r>
      <w:r w:rsidRPr="001A0E92">
        <w:rPr>
          <w:rFonts w:hint="eastAsia"/>
        </w:rPr>
        <w:t>亦積極進行</w:t>
      </w:r>
      <w:r w:rsidRPr="001A0E92">
        <w:rPr>
          <w:rFonts w:hint="eastAsia"/>
        </w:rPr>
        <w:t>40</w:t>
      </w:r>
      <w:r w:rsidRPr="001A0E92">
        <w:rPr>
          <w:rFonts w:hint="eastAsia"/>
        </w:rPr>
        <w:t>個氫氣站的建設計畫，估計綠色氫氣日產量為</w:t>
      </w:r>
      <w:r w:rsidRPr="001A0E92">
        <w:rPr>
          <w:rFonts w:hint="eastAsia"/>
        </w:rPr>
        <w:t>4,000</w:t>
      </w:r>
      <w:r w:rsidRPr="001A0E92">
        <w:rPr>
          <w:rFonts w:hint="eastAsia"/>
        </w:rPr>
        <w:t>公斤。</w:t>
      </w:r>
    </w:p>
    <w:p w:rsidR="00715206" w:rsidRPr="001A0E92" w:rsidRDefault="00715206" w:rsidP="00715206">
      <w:pPr>
        <w:pStyle w:val="12"/>
        <w:ind w:left="2006" w:hanging="590"/>
      </w:pPr>
      <w:r w:rsidRPr="001A0E92">
        <w:rPr>
          <w:rFonts w:hint="eastAsia"/>
        </w:rPr>
        <w:t>（</w:t>
      </w:r>
      <w:r w:rsidRPr="001A0E92">
        <w:rPr>
          <w:rFonts w:hint="eastAsia"/>
        </w:rPr>
        <w:t>3</w:t>
      </w:r>
      <w:r w:rsidRPr="001A0E92">
        <w:rPr>
          <w:rFonts w:hint="eastAsia"/>
        </w:rPr>
        <w:t>）</w:t>
      </w:r>
      <w:r w:rsidRPr="001A0E92">
        <w:rPr>
          <w:rFonts w:hint="eastAsia"/>
        </w:rPr>
        <w:tab/>
      </w:r>
      <w:r w:rsidRPr="001A0E92">
        <w:rPr>
          <w:rFonts w:hint="eastAsia"/>
        </w:rPr>
        <w:t>風能：斯洛伐克目前僅有</w:t>
      </w:r>
      <w:r w:rsidRPr="001A0E92">
        <w:rPr>
          <w:rFonts w:hint="eastAsia"/>
        </w:rPr>
        <w:t>3</w:t>
      </w:r>
      <w:r w:rsidRPr="001A0E92">
        <w:rPr>
          <w:rFonts w:hint="eastAsia"/>
        </w:rPr>
        <w:t>兆瓦的風能裝機容量，與斯洛維尼亞和馬爾他並列歐盟倒數第三。目前只有</w:t>
      </w:r>
      <w:r w:rsidRPr="001A0E92">
        <w:rPr>
          <w:rFonts w:hint="eastAsia"/>
        </w:rPr>
        <w:t>0.01%</w:t>
      </w:r>
      <w:r w:rsidRPr="001A0E92">
        <w:rPr>
          <w:rFonts w:hint="eastAsia"/>
        </w:rPr>
        <w:t>的斯洛伐克電力需求來自風能。在斯國國家能源和氣候計劃中，政府計劃到</w:t>
      </w:r>
      <w:r w:rsidRPr="001A0E92">
        <w:rPr>
          <w:rFonts w:hint="eastAsia"/>
        </w:rPr>
        <w:t xml:space="preserve"> 2030</w:t>
      </w:r>
      <w:r w:rsidRPr="001A0E92">
        <w:rPr>
          <w:rFonts w:hint="eastAsia"/>
        </w:rPr>
        <w:t>年建造</w:t>
      </w:r>
      <w:r w:rsidRPr="001A0E92">
        <w:rPr>
          <w:rFonts w:hint="eastAsia"/>
        </w:rPr>
        <w:t>500</w:t>
      </w:r>
      <w:r w:rsidRPr="001A0E92">
        <w:rPr>
          <w:rFonts w:hint="eastAsia"/>
        </w:rPr>
        <w:t>兆瓦的風能。歐洲風能協會（</w:t>
      </w:r>
      <w:r w:rsidRPr="001A0E92">
        <w:rPr>
          <w:rFonts w:hint="eastAsia"/>
        </w:rPr>
        <w:t>WindEurope</w:t>
      </w:r>
      <w:r w:rsidRPr="001A0E92">
        <w:rPr>
          <w:rFonts w:hint="eastAsia"/>
        </w:rPr>
        <w:t>）於</w:t>
      </w:r>
      <w:r w:rsidRPr="001A0E92">
        <w:rPr>
          <w:rFonts w:hint="eastAsia"/>
        </w:rPr>
        <w:t>2022</w:t>
      </w:r>
      <w:r w:rsidRPr="001A0E92">
        <w:rPr>
          <w:rFonts w:hint="eastAsia"/>
        </w:rPr>
        <w:t>年</w:t>
      </w:r>
      <w:r w:rsidRPr="001A0E92">
        <w:rPr>
          <w:rFonts w:hint="eastAsia"/>
        </w:rPr>
        <w:t>12</w:t>
      </w:r>
      <w:r w:rsidRPr="001A0E92">
        <w:rPr>
          <w:rFonts w:hint="eastAsia"/>
        </w:rPr>
        <w:t>月舉辦的研討會中，表示應建設更多的風電場，以協助其實現氣候目標。風能將促進當地經濟、創造就業機會、減少能源進口並提高能源安全。建議斯政府需要更清楚地說明如何獲得許可以及環境影響評估的要求。如果沒有改進，斯洛伐克將繼續落後於其鄰國。</w:t>
      </w:r>
    </w:p>
    <w:p w:rsidR="00715206" w:rsidRPr="001A0E92" w:rsidRDefault="00715206" w:rsidP="00715206">
      <w:pPr>
        <w:pStyle w:val="afb"/>
        <w:ind w:left="1416" w:hanging="472"/>
      </w:pPr>
      <w:r w:rsidRPr="001A0E92">
        <w:rPr>
          <w:rFonts w:hint="eastAsia"/>
        </w:rPr>
        <w:t>３、汽電共生</w:t>
      </w:r>
    </w:p>
    <w:p w:rsidR="00715206" w:rsidRPr="001A0E92" w:rsidRDefault="00715206" w:rsidP="00715206">
      <w:pPr>
        <w:pStyle w:val="12"/>
        <w:ind w:left="2006" w:hanging="590"/>
      </w:pPr>
      <w:r w:rsidRPr="001A0E92">
        <w:rPr>
          <w:rFonts w:hint="eastAsia"/>
        </w:rPr>
        <w:t>（</w:t>
      </w:r>
      <w:r w:rsidRPr="001A0E92">
        <w:rPr>
          <w:rFonts w:hint="eastAsia"/>
        </w:rPr>
        <w:t>1</w:t>
      </w:r>
      <w:r w:rsidRPr="001A0E92">
        <w:rPr>
          <w:rFonts w:hint="eastAsia"/>
        </w:rPr>
        <w:t>）</w:t>
      </w:r>
      <w:r w:rsidRPr="001A0E92">
        <w:rPr>
          <w:rFonts w:hint="eastAsia"/>
        </w:rPr>
        <w:tab/>
      </w:r>
      <w:r w:rsidRPr="001A0E92">
        <w:rPr>
          <w:rFonts w:hint="eastAsia"/>
        </w:rPr>
        <w:t>歐盟執委會於</w:t>
      </w:r>
      <w:r w:rsidRPr="001A0E92">
        <w:rPr>
          <w:rFonts w:hint="eastAsia"/>
        </w:rPr>
        <w:t>2021</w:t>
      </w:r>
      <w:r w:rsidRPr="001A0E92">
        <w:rPr>
          <w:rFonts w:hint="eastAsia"/>
        </w:rPr>
        <w:t>年</w:t>
      </w:r>
      <w:r w:rsidRPr="001A0E92">
        <w:rPr>
          <w:rFonts w:hint="eastAsia"/>
        </w:rPr>
        <w:t>3</w:t>
      </w:r>
      <w:r w:rsidRPr="001A0E92">
        <w:rPr>
          <w:rFonts w:hint="eastAsia"/>
        </w:rPr>
        <w:t>月批准</w:t>
      </w:r>
      <w:r w:rsidRPr="001A0E92">
        <w:rPr>
          <w:rFonts w:hint="eastAsia"/>
        </w:rPr>
        <w:t>10.5</w:t>
      </w:r>
      <w:r w:rsidRPr="001A0E92">
        <w:rPr>
          <w:rFonts w:hint="eastAsia"/>
        </w:rPr>
        <w:t>億歐元補助斯國電力建設，在未來</w:t>
      </w:r>
      <w:r w:rsidRPr="001A0E92">
        <w:rPr>
          <w:rFonts w:hint="eastAsia"/>
        </w:rPr>
        <w:t>15</w:t>
      </w:r>
      <w:r w:rsidRPr="001A0E92">
        <w:rPr>
          <w:rFonts w:hint="eastAsia"/>
        </w:rPr>
        <w:t>年內強化其區域供熱網路的汽電共生（</w:t>
      </w:r>
      <w:r w:rsidRPr="001A0E92">
        <w:rPr>
          <w:rFonts w:hint="eastAsia"/>
        </w:rPr>
        <w:t>cogeneration of electricity and heat</w:t>
      </w:r>
      <w:r w:rsidRPr="001A0E92">
        <w:rPr>
          <w:rFonts w:hint="eastAsia"/>
        </w:rPr>
        <w:t>）建設，鼓勵能源來源由煤炭轉向天然氣或再生能源，並加強國家對新型高效熱電聯產設施的投資。</w:t>
      </w:r>
    </w:p>
    <w:p w:rsidR="00715206" w:rsidRPr="001A0E92" w:rsidRDefault="00715206" w:rsidP="00715206">
      <w:pPr>
        <w:pStyle w:val="12"/>
        <w:ind w:left="2006" w:hanging="590"/>
      </w:pPr>
      <w:r w:rsidRPr="001A0E92">
        <w:rPr>
          <w:rFonts w:hint="eastAsia"/>
        </w:rPr>
        <w:t>（</w:t>
      </w:r>
      <w:r w:rsidRPr="001A0E92">
        <w:rPr>
          <w:rFonts w:hint="eastAsia"/>
        </w:rPr>
        <w:t>2</w:t>
      </w:r>
      <w:r w:rsidRPr="001A0E92">
        <w:rPr>
          <w:rFonts w:hint="eastAsia"/>
        </w:rPr>
        <w:t>）</w:t>
      </w:r>
      <w:r w:rsidRPr="001A0E92">
        <w:rPr>
          <w:rFonts w:hint="eastAsia"/>
        </w:rPr>
        <w:tab/>
      </w:r>
      <w:r w:rsidRPr="001A0E92">
        <w:rPr>
          <w:rFonts w:hint="eastAsia"/>
        </w:rPr>
        <w:t>該計畫排除燃煤設施，以符合歐盟能源和氣候目標。斯洛伐克將根據以下條件使用補助金額：</w:t>
      </w:r>
    </w:p>
    <w:p w:rsidR="00715206" w:rsidRPr="001A0E92" w:rsidRDefault="00715206" w:rsidP="00715206">
      <w:pPr>
        <w:pStyle w:val="Aff0"/>
        <w:ind w:left="2006" w:hanging="354"/>
      </w:pPr>
      <w:r w:rsidRPr="001A0E92">
        <w:rPr>
          <w:rFonts w:hint="eastAsia"/>
        </w:rPr>
        <w:t>A.</w:t>
      </w:r>
      <w:r w:rsidRPr="001A0E92">
        <w:rPr>
          <w:rFonts w:hint="eastAsia"/>
        </w:rPr>
        <w:tab/>
      </w:r>
      <w:r w:rsidRPr="001A0E92">
        <w:rPr>
          <w:rFonts w:hint="eastAsia"/>
        </w:rPr>
        <w:t>發電容量</w:t>
      </w:r>
      <w:r w:rsidRPr="001A0E92">
        <w:rPr>
          <w:rFonts w:hint="eastAsia"/>
        </w:rPr>
        <w:t>1MW</w:t>
      </w:r>
      <w:r w:rsidRPr="001A0E92">
        <w:rPr>
          <w:rFonts w:hint="eastAsia"/>
        </w:rPr>
        <w:t>或更高的新裝置將採多技術招標（</w:t>
      </w:r>
      <w:r w:rsidRPr="001A0E92">
        <w:rPr>
          <w:rFonts w:hint="eastAsia"/>
        </w:rPr>
        <w:t>multi-technology tender</w:t>
      </w:r>
      <w:r w:rsidRPr="001A0E92">
        <w:rPr>
          <w:rFonts w:hint="eastAsia"/>
        </w:rPr>
        <w:t>）。</w:t>
      </w:r>
    </w:p>
    <w:p w:rsidR="00715206" w:rsidRPr="001A0E92" w:rsidRDefault="00715206" w:rsidP="00715206">
      <w:pPr>
        <w:pStyle w:val="Aff0"/>
        <w:ind w:left="2006" w:hanging="354"/>
      </w:pPr>
      <w:r w:rsidRPr="001A0E92">
        <w:rPr>
          <w:rFonts w:hint="eastAsia"/>
        </w:rPr>
        <w:t>B.</w:t>
      </w:r>
      <w:r w:rsidRPr="001A0E92">
        <w:rPr>
          <w:rFonts w:hint="eastAsia"/>
        </w:rPr>
        <w:tab/>
      </w:r>
      <w:r w:rsidRPr="001A0E92">
        <w:rPr>
          <w:rFonts w:hint="eastAsia"/>
        </w:rPr>
        <w:t>小型安裝及現有裝置安裝將根據業者的發電成本來計算援助金額。</w:t>
      </w:r>
    </w:p>
    <w:p w:rsidR="00715206" w:rsidRPr="001A0E92" w:rsidRDefault="00715206" w:rsidP="00715206">
      <w:pPr>
        <w:pStyle w:val="Aff0"/>
        <w:ind w:left="2006" w:hanging="354"/>
      </w:pPr>
      <w:r w:rsidRPr="001A0E92">
        <w:rPr>
          <w:rFonts w:hint="eastAsia"/>
        </w:rPr>
        <w:t>C.</w:t>
      </w:r>
      <w:r w:rsidRPr="001A0E92">
        <w:rPr>
          <w:rFonts w:hint="eastAsia"/>
        </w:rPr>
        <w:tab/>
      </w:r>
      <w:r w:rsidRPr="001A0E92">
        <w:rPr>
          <w:rFonts w:hint="eastAsia"/>
        </w:rPr>
        <w:t>高於</w:t>
      </w:r>
      <w:r w:rsidRPr="001A0E92">
        <w:rPr>
          <w:rFonts w:hint="eastAsia"/>
        </w:rPr>
        <w:t>250kW</w:t>
      </w:r>
      <w:r w:rsidRPr="001A0E92">
        <w:rPr>
          <w:rFonts w:hint="eastAsia"/>
        </w:rPr>
        <w:t>的設備皆以電價差額補貼制度（</w:t>
      </w:r>
      <w:r w:rsidRPr="001A0E92">
        <w:rPr>
          <w:rFonts w:hint="eastAsia"/>
        </w:rPr>
        <w:t>feed-in premium</w:t>
      </w:r>
      <w:r w:rsidRPr="001A0E92">
        <w:rPr>
          <w:rFonts w:hint="eastAsia"/>
        </w:rPr>
        <w:t>）提供補助，低於</w:t>
      </w:r>
      <w:r w:rsidRPr="001A0E92">
        <w:rPr>
          <w:rFonts w:hint="eastAsia"/>
        </w:rPr>
        <w:t>250kW</w:t>
      </w:r>
      <w:r w:rsidRPr="001A0E92">
        <w:rPr>
          <w:rFonts w:hint="eastAsia"/>
        </w:rPr>
        <w:t>則以固定的躉購費率制度（</w:t>
      </w:r>
      <w:r w:rsidRPr="001A0E92">
        <w:rPr>
          <w:rFonts w:hint="eastAsia"/>
        </w:rPr>
        <w:t>fixed feed-in tariff</w:t>
      </w:r>
      <w:r w:rsidRPr="001A0E92">
        <w:rPr>
          <w:rFonts w:hint="eastAsia"/>
        </w:rPr>
        <w:t>）計算。</w:t>
      </w:r>
    </w:p>
    <w:p w:rsidR="00715206" w:rsidRPr="001A0E92" w:rsidRDefault="00715206" w:rsidP="00715206">
      <w:pPr>
        <w:pStyle w:val="12"/>
        <w:ind w:left="2006" w:hanging="590"/>
      </w:pPr>
      <w:r w:rsidRPr="001A0E92">
        <w:rPr>
          <w:rFonts w:hint="eastAsia"/>
        </w:rPr>
        <w:t>（</w:t>
      </w:r>
      <w:r w:rsidRPr="001A0E92">
        <w:rPr>
          <w:rFonts w:hint="eastAsia"/>
        </w:rPr>
        <w:t>3</w:t>
      </w:r>
      <w:r w:rsidRPr="001A0E92">
        <w:rPr>
          <w:rFonts w:hint="eastAsia"/>
        </w:rPr>
        <w:t>）</w:t>
      </w:r>
      <w:r w:rsidRPr="001A0E92">
        <w:rPr>
          <w:rFonts w:hint="eastAsia"/>
        </w:rPr>
        <w:tab/>
      </w:r>
      <w:r w:rsidRPr="001A0E92">
        <w:rPr>
          <w:rFonts w:hint="eastAsia"/>
        </w:rPr>
        <w:t>另斯洛伐克目前有</w:t>
      </w:r>
      <w:r w:rsidRPr="001A0E92">
        <w:rPr>
          <w:rFonts w:hint="eastAsia"/>
        </w:rPr>
        <w:t>52</w:t>
      </w:r>
      <w:r w:rsidRPr="001A0E92">
        <w:rPr>
          <w:rFonts w:hint="eastAsia"/>
        </w:rPr>
        <w:t>個污水處理廠（</w:t>
      </w:r>
      <w:r w:rsidRPr="001A0E92">
        <w:rPr>
          <w:rFonts w:hint="eastAsia"/>
        </w:rPr>
        <w:t>WWTPs with anaerobic sludge stabilization</w:t>
      </w:r>
      <w:r w:rsidRPr="001A0E92">
        <w:rPr>
          <w:rFonts w:hint="eastAsia"/>
        </w:rPr>
        <w:t>），其中</w:t>
      </w:r>
      <w:r w:rsidRPr="001A0E92">
        <w:rPr>
          <w:rFonts w:hint="eastAsia"/>
        </w:rPr>
        <w:t>22</w:t>
      </w:r>
      <w:r w:rsidRPr="001A0E92">
        <w:rPr>
          <w:rFonts w:hint="eastAsia"/>
        </w:rPr>
        <w:t>個有汽電共生機組，總裝機容量為</w:t>
      </w:r>
      <w:r w:rsidRPr="001A0E92">
        <w:rPr>
          <w:rFonts w:hint="eastAsia"/>
        </w:rPr>
        <w:t>5137kW</w:t>
      </w:r>
      <w:r w:rsidRPr="001A0E92">
        <w:rPr>
          <w:rFonts w:hint="eastAsia"/>
        </w:rPr>
        <w:t>。污水處理廠的年沼氣產量約為</w:t>
      </w:r>
      <w:r w:rsidRPr="001A0E92">
        <w:rPr>
          <w:rFonts w:hint="eastAsia"/>
        </w:rPr>
        <w:t>2,100</w:t>
      </w:r>
      <w:r w:rsidRPr="001A0E92">
        <w:rPr>
          <w:rFonts w:hint="eastAsia"/>
        </w:rPr>
        <w:t>萬立方公尺，約為</w:t>
      </w:r>
      <w:r w:rsidRPr="001A0E92">
        <w:rPr>
          <w:rFonts w:hint="eastAsia"/>
        </w:rPr>
        <w:t>5MW</w:t>
      </w:r>
      <w:r w:rsidRPr="001A0E92">
        <w:rPr>
          <w:rFonts w:hint="eastAsia"/>
        </w:rPr>
        <w:t>電力。</w:t>
      </w:r>
    </w:p>
    <w:p w:rsidR="00715206" w:rsidRPr="001A0E92" w:rsidRDefault="00715206" w:rsidP="00715206">
      <w:pPr>
        <w:pStyle w:val="afb"/>
        <w:ind w:left="1416" w:hanging="472"/>
      </w:pPr>
      <w:r w:rsidRPr="001A0E92">
        <w:rPr>
          <w:rFonts w:hint="eastAsia"/>
        </w:rPr>
        <w:t>４、生質能</w:t>
      </w:r>
    </w:p>
    <w:p w:rsidR="00715206" w:rsidRPr="001A0E92" w:rsidRDefault="00715206" w:rsidP="00715206">
      <w:pPr>
        <w:pStyle w:val="12"/>
        <w:ind w:left="2006" w:hanging="590"/>
      </w:pPr>
      <w:r w:rsidRPr="001A0E92">
        <w:rPr>
          <w:rFonts w:hint="eastAsia"/>
        </w:rPr>
        <w:t>（</w:t>
      </w:r>
      <w:r w:rsidRPr="001A0E92">
        <w:rPr>
          <w:rFonts w:hint="eastAsia"/>
        </w:rPr>
        <w:t>1</w:t>
      </w:r>
      <w:r w:rsidRPr="001A0E92">
        <w:rPr>
          <w:rFonts w:hint="eastAsia"/>
        </w:rPr>
        <w:t>）</w:t>
      </w:r>
      <w:r w:rsidRPr="001A0E92">
        <w:rPr>
          <w:rFonts w:hint="eastAsia"/>
        </w:rPr>
        <w:tab/>
      </w:r>
      <w:r w:rsidRPr="001A0E92">
        <w:rPr>
          <w:rFonts w:hint="eastAsia"/>
        </w:rPr>
        <w:t>林業係斯國重要產業之一，其林業廢棄物係發展斯國生質能（</w:t>
      </w:r>
      <w:r w:rsidRPr="001A0E92">
        <w:rPr>
          <w:rFonts w:hint="eastAsia"/>
        </w:rPr>
        <w:t>biomass</w:t>
      </w:r>
      <w:r w:rsidRPr="001A0E92">
        <w:rPr>
          <w:rFonts w:hint="eastAsia"/>
        </w:rPr>
        <w:t>）之主要來源。在政府財政緊縮情況下，對太陽能、風力能之政府補助有限，林業亦係斯國發展產業多元化之重點產業（目前過度依賴汽車產業）爰此，斯國再生能源未來發展重點應以生質能（包括地熱能等）為主。</w:t>
      </w:r>
    </w:p>
    <w:p w:rsidR="00715206" w:rsidRPr="001A0E92" w:rsidRDefault="00715206" w:rsidP="00715206">
      <w:pPr>
        <w:pStyle w:val="12"/>
        <w:ind w:left="2006" w:hanging="590"/>
      </w:pPr>
      <w:r w:rsidRPr="001A0E92">
        <w:rPr>
          <w:rFonts w:hint="eastAsia"/>
        </w:rPr>
        <w:t>（</w:t>
      </w:r>
      <w:r w:rsidRPr="001A0E92">
        <w:rPr>
          <w:rFonts w:hint="eastAsia"/>
        </w:rPr>
        <w:t>2</w:t>
      </w:r>
      <w:r w:rsidRPr="001A0E92">
        <w:rPr>
          <w:rFonts w:hint="eastAsia"/>
        </w:rPr>
        <w:t>）</w:t>
      </w:r>
      <w:r w:rsidRPr="001A0E92">
        <w:rPr>
          <w:rFonts w:hint="eastAsia"/>
        </w:rPr>
        <w:tab/>
      </w:r>
      <w:r w:rsidRPr="001A0E92">
        <w:rPr>
          <w:rFonts w:hint="eastAsia"/>
        </w:rPr>
        <w:t>斯洛伐克擁有每年平均生質能發電量</w:t>
      </w:r>
      <w:r w:rsidRPr="001A0E92">
        <w:rPr>
          <w:rFonts w:hint="eastAsia"/>
        </w:rPr>
        <w:t>11,200GW</w:t>
      </w:r>
      <w:r w:rsidRPr="001A0E92">
        <w:rPr>
          <w:rFonts w:hint="eastAsia"/>
        </w:rPr>
        <w:t>的潛力，相當於目前斯國總電力的</w:t>
      </w:r>
      <w:r w:rsidRPr="001A0E92">
        <w:rPr>
          <w:rFonts w:hint="eastAsia"/>
        </w:rPr>
        <w:t>40%</w:t>
      </w:r>
      <w:r w:rsidRPr="001A0E92">
        <w:rPr>
          <w:rFonts w:hint="eastAsia"/>
        </w:rPr>
        <w:t>，生質能燃料目前多為木頭屑、乾草、木棧板及煤球等。斯國政府支持生質能之使用，並向歐盟建議應將燃燒木屑之生質能列入可再生資源。</w:t>
      </w:r>
    </w:p>
    <w:p w:rsidR="00715206" w:rsidRPr="001A0E92" w:rsidRDefault="00715206" w:rsidP="00715206">
      <w:pPr>
        <w:pStyle w:val="12"/>
        <w:ind w:left="2006" w:hanging="590"/>
      </w:pPr>
    </w:p>
    <w:p w:rsidR="00715206" w:rsidRPr="001A0E92" w:rsidRDefault="00715206" w:rsidP="00715206">
      <w:pPr>
        <w:pStyle w:val="12"/>
        <w:ind w:left="2006" w:hanging="590"/>
      </w:pPr>
      <w:r w:rsidRPr="001A0E92">
        <w:rPr>
          <w:rFonts w:hint="eastAsia"/>
        </w:rPr>
        <w:t>（</w:t>
      </w:r>
      <w:r w:rsidRPr="001A0E92">
        <w:rPr>
          <w:rFonts w:hint="eastAsia"/>
        </w:rPr>
        <w:t>3</w:t>
      </w:r>
      <w:r w:rsidRPr="001A0E92">
        <w:rPr>
          <w:rFonts w:hint="eastAsia"/>
        </w:rPr>
        <w:t>）</w:t>
      </w:r>
      <w:r w:rsidRPr="001A0E92">
        <w:rPr>
          <w:rFonts w:hint="eastAsia"/>
        </w:rPr>
        <w:tab/>
      </w:r>
      <w:r w:rsidRPr="001A0E92">
        <w:rPr>
          <w:rFonts w:hint="eastAsia"/>
        </w:rPr>
        <w:t>斯國生質瓦斯廠提升產能之主要來源包括：增加廢水處理場（</w:t>
      </w:r>
      <w:r w:rsidRPr="001A0E92">
        <w:rPr>
          <w:rFonts w:hint="eastAsia"/>
        </w:rPr>
        <w:t>wastewater treatment plant</w:t>
      </w:r>
      <w:r w:rsidRPr="001A0E92">
        <w:rPr>
          <w:rFonts w:hint="eastAsia"/>
        </w:rPr>
        <w:t>）生質瓦斯之供應；增加現有生質瓦斯廠加強運用有機廢棄物（</w:t>
      </w:r>
      <w:r w:rsidRPr="001A0E92">
        <w:rPr>
          <w:rFonts w:hint="eastAsia"/>
        </w:rPr>
        <w:t>bio-waste</w:t>
      </w:r>
      <w:r w:rsidRPr="001A0E92">
        <w:rPr>
          <w:rFonts w:hint="eastAsia"/>
        </w:rPr>
        <w:t>），包括屠宰場廢物及生質柴油場之廢料等，以提升產能。</w:t>
      </w:r>
    </w:p>
    <w:p w:rsidR="00715206" w:rsidRPr="001A0E92" w:rsidRDefault="00715206" w:rsidP="00715206">
      <w:pPr>
        <w:pStyle w:val="12"/>
        <w:ind w:left="2006" w:hanging="590"/>
      </w:pPr>
      <w:r w:rsidRPr="001A0E92">
        <w:rPr>
          <w:rFonts w:hint="eastAsia"/>
        </w:rPr>
        <w:t>（</w:t>
      </w:r>
      <w:r w:rsidRPr="001A0E92">
        <w:t>4</w:t>
      </w:r>
      <w:r w:rsidRPr="001A0E92">
        <w:rPr>
          <w:rFonts w:hint="eastAsia"/>
        </w:rPr>
        <w:t>）</w:t>
      </w:r>
      <w:r w:rsidRPr="001A0E92">
        <w:tab/>
      </w:r>
      <w:r w:rsidRPr="001A0E92">
        <w:rPr>
          <w:rFonts w:hint="eastAsia"/>
        </w:rPr>
        <w:t>斯國重要生質能業者為</w:t>
      </w:r>
      <w:r w:rsidRPr="001A0E92">
        <w:t xml:space="preserve">Tlmače Slovenské energyké strojárne </w:t>
      </w:r>
      <w:r w:rsidRPr="001A0E92">
        <w:rPr>
          <w:rFonts w:hint="eastAsia"/>
        </w:rPr>
        <w:t>（</w:t>
      </w:r>
      <w:r w:rsidRPr="001A0E92">
        <w:t>SES</w:t>
      </w:r>
      <w:r w:rsidRPr="001A0E92">
        <w:rPr>
          <w:rFonts w:hint="eastAsia"/>
        </w:rPr>
        <w:t>），另斯國熱能製造協會（</w:t>
      </w:r>
      <w:r w:rsidRPr="001A0E92">
        <w:t>Slovak Association of Heat Producers, SZVT</w:t>
      </w:r>
      <w:r w:rsidRPr="001A0E92">
        <w:rPr>
          <w:rFonts w:hint="eastAsia"/>
        </w:rPr>
        <w:t>）提供熱能製造相關培訓、法規資訊及補助等。</w:t>
      </w:r>
    </w:p>
    <w:p w:rsidR="004F0E9D" w:rsidRPr="001A0E92" w:rsidRDefault="00715206" w:rsidP="00715206">
      <w:pPr>
        <w:pStyle w:val="afb"/>
        <w:ind w:left="1416" w:hanging="472"/>
      </w:pPr>
      <w:r w:rsidRPr="001A0E92">
        <w:rPr>
          <w:rFonts w:hint="eastAsia"/>
        </w:rPr>
        <w:t>５、</w:t>
      </w:r>
      <w:r w:rsidR="004F0E9D" w:rsidRPr="001A0E92">
        <w:t>太陽能</w:t>
      </w:r>
    </w:p>
    <w:p w:rsidR="004F0E9D" w:rsidRPr="001A0E92" w:rsidRDefault="004F0E9D" w:rsidP="00715206">
      <w:pPr>
        <w:pStyle w:val="afe"/>
        <w:ind w:left="1416" w:firstLine="472"/>
      </w:pPr>
      <w:r w:rsidRPr="001A0E92">
        <w:t>在太陽能方面，斯國地理位址位於北緯</w:t>
      </w:r>
      <w:r w:rsidRPr="001A0E92">
        <w:t>48</w:t>
      </w:r>
      <w:r w:rsidRPr="001A0E92">
        <w:t>度至</w:t>
      </w:r>
      <w:r w:rsidRPr="001A0E92">
        <w:t>50</w:t>
      </w:r>
      <w:r w:rsidRPr="001A0E92">
        <w:t>度，平均每平方公尺之太陽輻照流量（</w:t>
      </w:r>
      <w:r w:rsidRPr="001A0E92">
        <w:t>solar radiation flux</w:t>
      </w:r>
      <w:r w:rsidRPr="001A0E92">
        <w:t>）最高發電值約</w:t>
      </w:r>
      <w:r w:rsidRPr="001A0E92">
        <w:t>1,050kWh</w:t>
      </w:r>
      <w:r w:rsidRPr="001A0E92">
        <w:t>。斯國之太陽能光電多屬小型架高式太陽能板（模板矗立於建築物平頂或地面架設，</w:t>
      </w:r>
      <w:r w:rsidRPr="001A0E92">
        <w:t>ground mounted segment</w:t>
      </w:r>
      <w:r w:rsidRPr="001A0E92">
        <w:t>）。根據斯國太陽能協會（</w:t>
      </w:r>
      <w:r w:rsidRPr="001A0E92">
        <w:t>SAPI</w:t>
      </w:r>
      <w:r w:rsidRPr="001A0E92">
        <w:t>）</w:t>
      </w:r>
      <w:r w:rsidRPr="001A0E92">
        <w:t>2022</w:t>
      </w:r>
      <w:r w:rsidRPr="001A0E92">
        <w:t>年分析報告指出</w:t>
      </w:r>
      <w:r w:rsidRPr="001A0E92">
        <w:rPr>
          <w:rStyle w:val="a9"/>
          <w:kern w:val="0"/>
        </w:rPr>
        <w:footnoteReference w:id="9"/>
      </w:r>
      <w:r w:rsidRPr="001A0E92">
        <w:t>，配合歐盟綠色新政，斯國對裝設太陽能板提供補助，也因此</w:t>
      </w:r>
      <w:r w:rsidRPr="001A0E92">
        <w:t>2022</w:t>
      </w:r>
      <w:r w:rsidRPr="001A0E92">
        <w:t>年裝機容量新增</w:t>
      </w:r>
      <w:r w:rsidRPr="001A0E92">
        <w:t>28MW</w:t>
      </w:r>
      <w:r w:rsidRPr="001A0E92">
        <w:t>，創歷史新高，使當前裝機總量達到</w:t>
      </w:r>
      <w:r w:rsidRPr="001A0E92">
        <w:t>573MW</w:t>
      </w:r>
      <w:r w:rsidRPr="001A0E92">
        <w:t>。</w:t>
      </w:r>
    </w:p>
    <w:p w:rsidR="004F0E9D" w:rsidRPr="001A0E92" w:rsidRDefault="004F0E9D" w:rsidP="00715206">
      <w:pPr>
        <w:pStyle w:val="afe"/>
        <w:ind w:left="1416" w:firstLine="472"/>
      </w:pPr>
      <w:r w:rsidRPr="001A0E92">
        <w:t>另一方面，斯國經濟部訂有「</w:t>
      </w:r>
      <w:r w:rsidRPr="001A0E92">
        <w:t>2021</w:t>
      </w:r>
      <w:r w:rsidRPr="001A0E92">
        <w:t>至</w:t>
      </w:r>
      <w:r w:rsidRPr="001A0E92">
        <w:t>2030</w:t>
      </w:r>
      <w:r w:rsidRPr="001A0E92">
        <w:t>國家能源及氣候計畫」，將在</w:t>
      </w:r>
      <w:r w:rsidRPr="001A0E92">
        <w:t>2030</w:t>
      </w:r>
      <w:r w:rsidRPr="001A0E92">
        <w:t>年前引進總計</w:t>
      </w:r>
      <w:r w:rsidRPr="001A0E92">
        <w:t>1,100MW</w:t>
      </w:r>
      <w:r w:rsidRPr="001A0E92">
        <w:t>的太陽能和風能發電設施（</w:t>
      </w:r>
      <w:r w:rsidRPr="001A0E92">
        <w:t>650MW</w:t>
      </w:r>
      <w:r w:rsidRPr="001A0E92">
        <w:t>太陽能和</w:t>
      </w:r>
      <w:r w:rsidRPr="001A0E92">
        <w:t>500MW</w:t>
      </w:r>
      <w:r w:rsidRPr="001A0E92">
        <w:t>風能）。</w:t>
      </w:r>
    </w:p>
    <w:p w:rsidR="004F0E9D" w:rsidRPr="001A0E92" w:rsidRDefault="004F0E9D" w:rsidP="00715206">
      <w:pPr>
        <w:pStyle w:val="afe"/>
        <w:ind w:left="1416" w:firstLine="472"/>
        <w:rPr>
          <w:rFonts w:ascii="新細明體" w:eastAsia="新細明體" w:hAnsi="新細明體" w:cs="新細明體"/>
        </w:rPr>
      </w:pPr>
      <w:r w:rsidRPr="001A0E92">
        <w:t>依據斯國</w:t>
      </w:r>
      <w:r w:rsidRPr="001A0E92">
        <w:t>Spectator</w:t>
      </w:r>
      <w:r w:rsidRPr="001A0E92">
        <w:t>媒體</w:t>
      </w:r>
      <w:r w:rsidRPr="001A0E92">
        <w:t>2021</w:t>
      </w:r>
      <w:r w:rsidRPr="001A0E92">
        <w:t>年</w:t>
      </w:r>
      <w:r w:rsidRPr="001A0E92">
        <w:t>11</w:t>
      </w:r>
      <w:r w:rsidRPr="001A0E92">
        <w:t>月報導指出，斯國半國營企業</w:t>
      </w:r>
      <w:r w:rsidRPr="001A0E92">
        <w:t>JESS</w:t>
      </w:r>
      <w:r w:rsidRPr="001A0E92">
        <w:t>公司投資</w:t>
      </w:r>
      <w:r w:rsidRPr="001A0E92">
        <w:t>6,000</w:t>
      </w:r>
      <w:r w:rsidRPr="001A0E92">
        <w:t>萬歐元於西部</w:t>
      </w:r>
      <w:r w:rsidRPr="001A0E92">
        <w:t>Trnava</w:t>
      </w:r>
      <w:r w:rsidRPr="001A0E92">
        <w:t>省興建</w:t>
      </w:r>
      <w:r w:rsidRPr="001A0E92">
        <w:t>48MW</w:t>
      </w:r>
      <w:r w:rsidRPr="001A0E92">
        <w:t>太陽能電廠，以確保斯國的綠能供應，以及未來可能支援綠氫的發展。</w:t>
      </w:r>
    </w:p>
    <w:p w:rsidR="00715206" w:rsidRPr="001A0E92" w:rsidRDefault="00715206" w:rsidP="00715206">
      <w:pPr>
        <w:pStyle w:val="af8"/>
        <w:ind w:left="944" w:hanging="708"/>
      </w:pPr>
    </w:p>
    <w:p w:rsidR="004F0E9D" w:rsidRPr="001A0E92" w:rsidRDefault="004F0E9D" w:rsidP="00715206">
      <w:pPr>
        <w:pStyle w:val="af8"/>
        <w:ind w:left="944" w:hanging="708"/>
      </w:pPr>
      <w:r w:rsidRPr="001A0E92">
        <w:t>（三）天然氣</w:t>
      </w:r>
    </w:p>
    <w:p w:rsidR="004F0E9D" w:rsidRPr="001A0E92" w:rsidRDefault="00715206" w:rsidP="00715206">
      <w:pPr>
        <w:pStyle w:val="afb"/>
        <w:ind w:left="1416" w:hanging="472"/>
      </w:pPr>
      <w:r w:rsidRPr="001A0E92">
        <w:rPr>
          <w:rFonts w:hint="eastAsia"/>
        </w:rPr>
        <w:t>１、</w:t>
      </w:r>
      <w:r w:rsidR="004F0E9D" w:rsidRPr="001A0E92">
        <w:t>斯國政府於</w:t>
      </w:r>
      <w:r w:rsidR="004F0E9D" w:rsidRPr="001A0E92">
        <w:t>2023</w:t>
      </w:r>
      <w:r w:rsidR="004F0E9D" w:rsidRPr="001A0E92">
        <w:t>年實施天然氣補助措施，以天然氣為每兆瓦時</w:t>
      </w:r>
      <w:r w:rsidR="004F0E9D" w:rsidRPr="001A0E92">
        <w:t>99</w:t>
      </w:r>
      <w:r w:rsidR="004F0E9D" w:rsidRPr="001A0E92">
        <w:t>歐元為基礎，超過該數額之價格之</w:t>
      </w:r>
      <w:r w:rsidR="004F0E9D" w:rsidRPr="001A0E92">
        <w:t>80%</w:t>
      </w:r>
      <w:r w:rsidR="004F0E9D" w:rsidRPr="001A0E92">
        <w:t>將由政府支付，以減輕企業之負擔。</w:t>
      </w:r>
    </w:p>
    <w:p w:rsidR="004F0E9D" w:rsidRPr="001A0E92" w:rsidRDefault="00715206" w:rsidP="00715206">
      <w:pPr>
        <w:pStyle w:val="afb"/>
        <w:ind w:left="1416" w:hanging="472"/>
      </w:pPr>
      <w:r w:rsidRPr="001A0E92">
        <w:rPr>
          <w:rFonts w:hint="eastAsia"/>
        </w:rPr>
        <w:t>２、</w:t>
      </w:r>
      <w:r w:rsidR="004F0E9D" w:rsidRPr="001A0E92">
        <w:t>根據歐盟統計局資料，</w:t>
      </w:r>
      <w:r w:rsidR="004F0E9D" w:rsidRPr="001A0E92">
        <w:t>2022</w:t>
      </w:r>
      <w:r w:rsidR="004F0E9D" w:rsidRPr="001A0E92">
        <w:t>年下半年的斯國平均家庭天然氣價格為每</w:t>
      </w:r>
      <w:r w:rsidR="004F0E9D" w:rsidRPr="001A0E92">
        <w:t>100</w:t>
      </w:r>
      <w:r w:rsidR="004F0E9D" w:rsidRPr="001A0E92">
        <w:t>千瓦時</w:t>
      </w:r>
      <w:r w:rsidR="004F0E9D" w:rsidRPr="001A0E92">
        <w:t>4.9</w:t>
      </w:r>
      <w:r w:rsidR="004F0E9D" w:rsidRPr="001A0E92">
        <w:t>歐元，為歐盟中第三低的國家，次於匈牙利（</w:t>
      </w:r>
      <w:r w:rsidR="004F0E9D" w:rsidRPr="001A0E92">
        <w:t>3.5</w:t>
      </w:r>
      <w:r w:rsidR="004F0E9D" w:rsidRPr="001A0E92">
        <w:t>歐元</w:t>
      </w:r>
      <w:r w:rsidR="004F0E9D" w:rsidRPr="001A0E92">
        <w:t>/100</w:t>
      </w:r>
      <w:r w:rsidR="004F0E9D" w:rsidRPr="001A0E92">
        <w:t>千瓦時）、克羅埃西亞（</w:t>
      </w:r>
      <w:r w:rsidR="004F0E9D" w:rsidRPr="001A0E92">
        <w:t>4.5</w:t>
      </w:r>
      <w:r w:rsidR="004F0E9D" w:rsidRPr="001A0E92">
        <w:t>歐元</w:t>
      </w:r>
      <w:r w:rsidR="004F0E9D" w:rsidRPr="001A0E92">
        <w:t>/100</w:t>
      </w:r>
      <w:r w:rsidR="004F0E9D" w:rsidRPr="001A0E92">
        <w:t>千瓦時）。</w:t>
      </w:r>
    </w:p>
    <w:p w:rsidR="004F0E9D" w:rsidRPr="001A0E92" w:rsidRDefault="004F0E9D" w:rsidP="00715206">
      <w:pPr>
        <w:pStyle w:val="af3"/>
        <w:spacing w:before="257" w:after="257"/>
        <w:ind w:left="632" w:hanging="632"/>
        <w:rPr>
          <w:color w:val="auto"/>
        </w:rPr>
      </w:pPr>
      <w:r w:rsidRPr="001A0E92">
        <w:rPr>
          <w:color w:val="auto"/>
        </w:rPr>
        <w:t>三、通訊</w:t>
      </w:r>
    </w:p>
    <w:p w:rsidR="004F0E9D" w:rsidRPr="001A0E92" w:rsidRDefault="004F0E9D" w:rsidP="00715206">
      <w:pPr>
        <w:pStyle w:val="a0"/>
        <w:ind w:firstLine="472"/>
      </w:pPr>
      <w:r w:rsidRPr="001A0E92">
        <w:t>根據斯國貿易暨投資局（</w:t>
      </w:r>
      <w:r w:rsidRPr="001A0E92">
        <w:t>SARIO</w:t>
      </w:r>
      <w:r w:rsidRPr="001A0E92">
        <w:t>）</w:t>
      </w:r>
      <w:r w:rsidRPr="001A0E92">
        <w:t>2021</w:t>
      </w:r>
      <w:r w:rsidRPr="001A0E92">
        <w:t>年產業報告指出，通訊產業在斯國經濟中占有重要的角色，斯國具有良好的教育勞動力、發達的資通訊機構網絡及政治經濟穩定等因素，吸引資通訊業者來斯投資。目前資通訊產業占斯國</w:t>
      </w:r>
      <w:r w:rsidRPr="001A0E92">
        <w:t>GDP3.41%</w:t>
      </w:r>
      <w:r w:rsidRPr="001A0E92">
        <w:t>，創造超過</w:t>
      </w:r>
      <w:r w:rsidRPr="001A0E92">
        <w:t>8</w:t>
      </w:r>
      <w:r w:rsidRPr="001A0E92">
        <w:t>萬</w:t>
      </w:r>
      <w:r w:rsidRPr="001A0E92">
        <w:t>7,000</w:t>
      </w:r>
      <w:r w:rsidRPr="001A0E92">
        <w:t>個工作機會，</w:t>
      </w:r>
      <w:r w:rsidRPr="001A0E92">
        <w:t>2008</w:t>
      </w:r>
      <w:r w:rsidRPr="001A0E92">
        <w:t>年至</w:t>
      </w:r>
      <w:r w:rsidRPr="001A0E92">
        <w:t>2020</w:t>
      </w:r>
      <w:r w:rsidRPr="001A0E92">
        <w:t>年期間，資通訊產業的員工人數增加</w:t>
      </w:r>
      <w:r w:rsidRPr="001A0E92">
        <w:t>60%</w:t>
      </w:r>
      <w:r w:rsidRPr="001A0E92">
        <w:t>。</w:t>
      </w:r>
    </w:p>
    <w:p w:rsidR="004F0E9D" w:rsidRPr="001A0E92" w:rsidRDefault="004F0E9D" w:rsidP="00715206">
      <w:pPr>
        <w:pStyle w:val="a0"/>
        <w:ind w:firstLine="472"/>
      </w:pPr>
      <w:r w:rsidRPr="001A0E92">
        <w:t>斯國交通及建設部</w:t>
      </w:r>
      <w:r w:rsidRPr="001A0E92">
        <w:rPr>
          <w:rFonts w:hint="eastAsia"/>
        </w:rPr>
        <w:t>（</w:t>
      </w:r>
      <w:r w:rsidRPr="001A0E92">
        <w:t>Ministry of Transport and Construction</w:t>
      </w:r>
      <w:r w:rsidRPr="001A0E92">
        <w:rPr>
          <w:rFonts w:hint="eastAsia"/>
        </w:rPr>
        <w:t>）</w:t>
      </w:r>
      <w:r w:rsidRPr="001A0E92">
        <w:t>為</w:t>
      </w:r>
      <w:r w:rsidRPr="001A0E92">
        <w:t>5G</w:t>
      </w:r>
      <w:r w:rsidRPr="001A0E92">
        <w:t>產業發展之主管單位，根據該部制定之「</w:t>
      </w:r>
      <w:r w:rsidRPr="001A0E92">
        <w:t>2020-2025</w:t>
      </w:r>
      <w:r w:rsidRPr="001A0E92">
        <w:t>國家</w:t>
      </w:r>
      <w:r w:rsidRPr="001A0E92">
        <w:t>5G</w:t>
      </w:r>
      <w:r w:rsidRPr="001A0E92">
        <w:t>發展計畫」</w:t>
      </w:r>
      <w:r w:rsidRPr="001A0E92">
        <w:rPr>
          <w:rFonts w:hint="eastAsia"/>
        </w:rPr>
        <w:t>（</w:t>
      </w:r>
      <w:r w:rsidRPr="001A0E92">
        <w:t>Support for the development of 5G networks in Slovakia for the years 2020 - 2025</w:t>
      </w:r>
      <w:r w:rsidRPr="001A0E92">
        <w:rPr>
          <w:rFonts w:hint="eastAsia"/>
        </w:rPr>
        <w:t>）</w:t>
      </w:r>
      <w:r w:rsidRPr="001A0E92">
        <w:t>，該部配合歐盟「連接歐洲千兆位元社會」（</w:t>
      </w:r>
      <w:r w:rsidRPr="001A0E92">
        <w:t>Connectivity for a European Gigabit Society</w:t>
      </w:r>
      <w:r w:rsidRPr="001A0E92">
        <w:t>）計畫推動</w:t>
      </w:r>
      <w:r w:rsidRPr="001A0E92">
        <w:t>5G</w:t>
      </w:r>
      <w:r w:rsidRPr="001A0E92">
        <w:t>網絡發展，包括重組及連結斯國與歐洲網絡的頻譜、制定相關立法、投資高容量連接的建設</w:t>
      </w:r>
      <w:r w:rsidRPr="001A0E92">
        <w:rPr>
          <w:rFonts w:hint="eastAsia"/>
        </w:rPr>
        <w:t>（</w:t>
      </w:r>
      <w:r w:rsidRPr="001A0E92">
        <w:t>按</w:t>
      </w:r>
      <w:r w:rsidRPr="001A0E92">
        <w:t>5G</w:t>
      </w:r>
      <w:r w:rsidRPr="001A0E92">
        <w:t>基礎建設由斯國投資部及交通部共同辦理</w:t>
      </w:r>
      <w:r w:rsidRPr="001A0E92">
        <w:rPr>
          <w:rFonts w:hint="eastAsia"/>
        </w:rPr>
        <w:t>）</w:t>
      </w:r>
      <w:r w:rsidRPr="001A0E92">
        <w:t>等，鑒於</w:t>
      </w:r>
      <w:r w:rsidRPr="001A0E92">
        <w:t>5G</w:t>
      </w:r>
      <w:r w:rsidRPr="001A0E92">
        <w:t>技術與工業</w:t>
      </w:r>
      <w:r w:rsidRPr="001A0E92">
        <w:t>4.0</w:t>
      </w:r>
      <w:r w:rsidRPr="001A0E92">
        <w:t>、智慧農業、醫療保健、自駕車、智能電網等息息相關，該部目標為在</w:t>
      </w:r>
      <w:r w:rsidRPr="001A0E92">
        <w:t>2025</w:t>
      </w:r>
      <w:r w:rsidRPr="001A0E92">
        <w:t>年底前使</w:t>
      </w:r>
      <w:r w:rsidRPr="001A0E92">
        <w:t>5G</w:t>
      </w:r>
      <w:r w:rsidRPr="001A0E92">
        <w:t>網絡覆蓋全國</w:t>
      </w:r>
      <w:r w:rsidRPr="001A0E92">
        <w:t>95%</w:t>
      </w:r>
      <w:r w:rsidRPr="001A0E92">
        <w:t>的城市人口，在</w:t>
      </w:r>
      <w:r w:rsidRPr="001A0E92">
        <w:t>2027</w:t>
      </w:r>
      <w:r w:rsidRPr="001A0E92">
        <w:t>年底覆蓋城市以外的</w:t>
      </w:r>
      <w:r w:rsidRPr="001A0E92">
        <w:t>90%</w:t>
      </w:r>
      <w:r w:rsidRPr="001A0E92">
        <w:t>的人口。</w:t>
      </w:r>
    </w:p>
    <w:p w:rsidR="004F0E9D" w:rsidRPr="001A0E92" w:rsidRDefault="004F0E9D" w:rsidP="00715206">
      <w:pPr>
        <w:pStyle w:val="a0"/>
        <w:ind w:firstLine="472"/>
      </w:pPr>
      <w:r w:rsidRPr="001A0E92">
        <w:t>根據</w:t>
      </w:r>
      <w:r w:rsidRPr="001A0E92">
        <w:t>Techbyte</w:t>
      </w:r>
      <w:r w:rsidRPr="001A0E92">
        <w:t>於</w:t>
      </w:r>
      <w:r w:rsidRPr="001A0E92">
        <w:t>2023</w:t>
      </w:r>
      <w:r w:rsidRPr="001A0E92">
        <w:t>年</w:t>
      </w:r>
      <w:r w:rsidRPr="001A0E92">
        <w:t>3</w:t>
      </w:r>
      <w:r w:rsidRPr="001A0E92">
        <w:t>月報導，目前斯國業者</w:t>
      </w:r>
      <w:r w:rsidRPr="001A0E92">
        <w:t>5G</w:t>
      </w:r>
      <w:r w:rsidRPr="001A0E92">
        <w:t>網路服務以</w:t>
      </w:r>
      <w:r w:rsidRPr="001A0E92">
        <w:t>Telecom</w:t>
      </w:r>
      <w:r w:rsidRPr="001A0E92">
        <w:t>為首</w:t>
      </w:r>
      <w:r w:rsidRPr="001A0E92">
        <w:rPr>
          <w:rFonts w:hint="eastAsia"/>
        </w:rPr>
        <w:t>（</w:t>
      </w:r>
      <w:r w:rsidRPr="001A0E92">
        <w:t>5G</w:t>
      </w:r>
      <w:r w:rsidRPr="001A0E92">
        <w:t>網路可供</w:t>
      </w:r>
      <w:r w:rsidRPr="001A0E92">
        <w:t>40%</w:t>
      </w:r>
      <w:r w:rsidRPr="001A0E92">
        <w:t>斯國人口使用，計</w:t>
      </w:r>
      <w:r w:rsidRPr="001A0E92">
        <w:t>52</w:t>
      </w:r>
      <w:r w:rsidRPr="001A0E92">
        <w:t>個城市</w:t>
      </w:r>
      <w:r w:rsidRPr="001A0E92">
        <w:rPr>
          <w:rFonts w:hint="eastAsia"/>
        </w:rPr>
        <w:t>）</w:t>
      </w:r>
      <w:r w:rsidRPr="001A0E92">
        <w:t>，其次為</w:t>
      </w:r>
      <w:r w:rsidRPr="001A0E92">
        <w:t>O2</w:t>
      </w:r>
      <w:r w:rsidRPr="001A0E92">
        <w:rPr>
          <w:rFonts w:hint="eastAsia"/>
        </w:rPr>
        <w:t>（</w:t>
      </w:r>
      <w:r w:rsidRPr="001A0E92">
        <w:t>覆蓋率</w:t>
      </w:r>
      <w:r w:rsidRPr="001A0E92">
        <w:t>38%</w:t>
      </w:r>
      <w:r w:rsidRPr="001A0E92">
        <w:rPr>
          <w:rFonts w:hint="eastAsia"/>
        </w:rPr>
        <w:t>）</w:t>
      </w:r>
      <w:r w:rsidRPr="001A0E92">
        <w:t>，</w:t>
      </w:r>
      <w:r w:rsidRPr="001A0E92">
        <w:t>Orange</w:t>
      </w:r>
      <w:r w:rsidRPr="001A0E92">
        <w:t>為第三</w:t>
      </w:r>
      <w:r w:rsidRPr="001A0E92">
        <w:rPr>
          <w:rFonts w:hint="eastAsia"/>
        </w:rPr>
        <w:t>（</w:t>
      </w:r>
      <w:r w:rsidRPr="001A0E92">
        <w:t>覆蓋率</w:t>
      </w:r>
      <w:r w:rsidRPr="001A0E92">
        <w:t>33%</w:t>
      </w:r>
      <w:r w:rsidRPr="001A0E92">
        <w:rPr>
          <w:rFonts w:hint="eastAsia"/>
        </w:rPr>
        <w:t>）</w:t>
      </w:r>
      <w:r w:rsidRPr="001A0E92">
        <w:t>。目前包括</w:t>
      </w:r>
      <w:r w:rsidRPr="001A0E92">
        <w:t>Bratislava</w:t>
      </w:r>
      <w:r w:rsidRPr="001A0E92">
        <w:t>、</w:t>
      </w:r>
      <w:r w:rsidRPr="001A0E92">
        <w:t>Kosice</w:t>
      </w:r>
      <w:r w:rsidRPr="001A0E92">
        <w:t>、</w:t>
      </w:r>
      <w:r w:rsidRPr="001A0E92">
        <w:t>Nitra</w:t>
      </w:r>
      <w:r w:rsidRPr="001A0E92">
        <w:t>及</w:t>
      </w:r>
      <w:r w:rsidRPr="001A0E92">
        <w:t>zilina</w:t>
      </w:r>
      <w:r w:rsidRPr="001A0E92">
        <w:t>等主要城市及周邊區域皆有</w:t>
      </w:r>
      <w:r w:rsidRPr="001A0E92">
        <w:t>5G</w:t>
      </w:r>
      <w:r w:rsidRPr="001A0E92">
        <w:t>網路。</w:t>
      </w:r>
    </w:p>
    <w:p w:rsidR="004F0E9D" w:rsidRPr="001A0E92" w:rsidRDefault="004F0E9D" w:rsidP="00715206">
      <w:pPr>
        <w:pStyle w:val="af3"/>
        <w:spacing w:before="257" w:after="257"/>
        <w:ind w:left="632" w:hanging="632"/>
        <w:rPr>
          <w:color w:val="auto"/>
        </w:rPr>
      </w:pPr>
      <w:r w:rsidRPr="001A0E92">
        <w:rPr>
          <w:color w:val="auto"/>
        </w:rPr>
        <w:t>四、運輸</w:t>
      </w:r>
    </w:p>
    <w:p w:rsidR="004F0E9D" w:rsidRPr="001A0E92" w:rsidRDefault="004F0E9D" w:rsidP="00715206">
      <w:pPr>
        <w:pStyle w:val="a0"/>
        <w:ind w:firstLine="472"/>
      </w:pPr>
      <w:r w:rsidRPr="001A0E92">
        <w:t>斯洛伐克地處中東歐的地理中心，是西歐進入東歐的門戶之一，其鄰邦北有捷克與波蘭、南有匈牙利、西有奧地利，東則與烏克蘭接壤。全國面積約</w:t>
      </w:r>
      <w:r w:rsidRPr="001A0E92">
        <w:t>4.9</w:t>
      </w:r>
      <w:r w:rsidRPr="001A0E92">
        <w:t>萬平方公里，擁有發達的鐵路網</w:t>
      </w:r>
      <w:r w:rsidRPr="001A0E92">
        <w:rPr>
          <w:rFonts w:hint="eastAsia"/>
        </w:rPr>
        <w:t>（</w:t>
      </w:r>
      <w:r w:rsidRPr="001A0E92">
        <w:t>3,629</w:t>
      </w:r>
      <w:r w:rsidRPr="001A0E92">
        <w:t>公里</w:t>
      </w:r>
      <w:r w:rsidRPr="001A0E92">
        <w:rPr>
          <w:rFonts w:hint="eastAsia"/>
        </w:rPr>
        <w:t>）</w:t>
      </w:r>
      <w:r w:rsidRPr="001A0E92">
        <w:t>和高速公路系統</w:t>
      </w:r>
      <w:r w:rsidRPr="001A0E92">
        <w:rPr>
          <w:rFonts w:hint="eastAsia"/>
        </w:rPr>
        <w:t>（</w:t>
      </w:r>
      <w:r w:rsidRPr="001A0E92">
        <w:t>862</w:t>
      </w:r>
      <w:r w:rsidRPr="001A0E92">
        <w:t>公里</w:t>
      </w:r>
      <w:r w:rsidRPr="001A0E92">
        <w:rPr>
          <w:rFonts w:hint="eastAsia"/>
        </w:rPr>
        <w:t>）</w:t>
      </w:r>
      <w:r w:rsidRPr="001A0E92">
        <w:t>。主要國際機場是首都布拉迪斯拉發的</w:t>
      </w:r>
      <w:r w:rsidRPr="001A0E92">
        <w:t>MR Štefánik</w:t>
      </w:r>
      <w:r w:rsidRPr="001A0E92">
        <w:t>機場，但離首都僅約</w:t>
      </w:r>
      <w:r w:rsidRPr="001A0E92">
        <w:t>60</w:t>
      </w:r>
      <w:r w:rsidRPr="001A0E92">
        <w:t>公里的奧地利維也納國際機場（</w:t>
      </w:r>
      <w:r w:rsidRPr="001A0E92">
        <w:t>Vienna International Airport</w:t>
      </w:r>
      <w:r w:rsidRPr="001A0E92">
        <w:t>）是斯國的重要出入口。</w:t>
      </w:r>
    </w:p>
    <w:p w:rsidR="004F0E9D" w:rsidRPr="001A0E92" w:rsidRDefault="004F0E9D" w:rsidP="00715206">
      <w:pPr>
        <w:pStyle w:val="a0"/>
        <w:ind w:firstLine="472"/>
      </w:pPr>
      <w:r w:rsidRPr="001A0E92">
        <w:t>由於斯國為內陸國，從水路進入斯國可從羅馬尼亞之黑海港口</w:t>
      </w:r>
      <w:r w:rsidRPr="001A0E92">
        <w:t>Constancia</w:t>
      </w:r>
      <w:r w:rsidRPr="001A0E92">
        <w:t>溯多瑙河抵斯需時</w:t>
      </w:r>
      <w:r w:rsidRPr="001A0E92">
        <w:t>7</w:t>
      </w:r>
      <w:r w:rsidRPr="001A0E92">
        <w:t>天，多瑙河運可連繫維也納、布達佩斯等城市。</w:t>
      </w:r>
    </w:p>
    <w:p w:rsidR="00697189" w:rsidRPr="001A0E92" w:rsidRDefault="004F0E9D" w:rsidP="00715206">
      <w:pPr>
        <w:pStyle w:val="a0"/>
        <w:ind w:firstLine="472"/>
      </w:pPr>
      <w:r w:rsidRPr="001A0E92">
        <w:t>斯國高速公路由</w:t>
      </w:r>
      <w:r w:rsidRPr="001A0E92">
        <w:t>100%</w:t>
      </w:r>
      <w:r w:rsidRPr="001A0E92">
        <w:t>官股之國家高速公路公司</w:t>
      </w:r>
      <w:r w:rsidRPr="001A0E92">
        <w:rPr>
          <w:rFonts w:hint="eastAsia"/>
        </w:rPr>
        <w:t>（</w:t>
      </w:r>
      <w:r w:rsidRPr="001A0E92">
        <w:t>NDS</w:t>
      </w:r>
      <w:r w:rsidRPr="001A0E92">
        <w:rPr>
          <w:rFonts w:hint="eastAsia"/>
        </w:rPr>
        <w:t>）</w:t>
      </w:r>
      <w:r w:rsidRPr="001A0E92">
        <w:t>進行管理，包括土地規劃、工程設計、道路保養及國道收費系統等。斯國可東西向貫通之高速公路尚有部分路段未興建完成，自斯京</w:t>
      </w:r>
      <w:r w:rsidRPr="001A0E92">
        <w:t>Bratislava</w:t>
      </w:r>
      <w:r w:rsidRPr="001A0E92">
        <w:t>開車經中部</w:t>
      </w:r>
      <w:r w:rsidRPr="001A0E92">
        <w:t>Banska Bystrica</w:t>
      </w:r>
      <w:r w:rsidRPr="001A0E92">
        <w:t>前往東部</w:t>
      </w:r>
      <w:r w:rsidRPr="001A0E92">
        <w:t>Kosice</w:t>
      </w:r>
      <w:r w:rsidRPr="001A0E92">
        <w:t>約</w:t>
      </w:r>
      <w:r w:rsidRPr="001A0E92">
        <w:t>400</w:t>
      </w:r>
      <w:r w:rsidRPr="001A0E92">
        <w:t>公里</w:t>
      </w:r>
      <w:r w:rsidRPr="001A0E92">
        <w:rPr>
          <w:rFonts w:hint="eastAsia"/>
        </w:rPr>
        <w:t>（</w:t>
      </w:r>
      <w:r w:rsidRPr="001A0E92">
        <w:t>其中約</w:t>
      </w:r>
      <w:r w:rsidRPr="001A0E92">
        <w:t>70</w:t>
      </w:r>
      <w:r w:rsidRPr="001A0E92">
        <w:t>公里無高速公路</w:t>
      </w:r>
      <w:r w:rsidRPr="001A0E92">
        <w:rPr>
          <w:rFonts w:hint="eastAsia"/>
        </w:rPr>
        <w:t>）</w:t>
      </w:r>
      <w:r w:rsidRPr="001A0E92">
        <w:t>，需時</w:t>
      </w:r>
      <w:r w:rsidRPr="001A0E92">
        <w:t>4.5</w:t>
      </w:r>
      <w:r w:rsidRPr="001A0E92">
        <w:t>小時</w:t>
      </w:r>
      <w:r w:rsidR="00697189" w:rsidRPr="001A0E92">
        <w:rPr>
          <w:rFonts w:hint="eastAsia"/>
        </w:rPr>
        <w:t>。</w:t>
      </w:r>
    </w:p>
    <w:p w:rsidR="00715206" w:rsidRPr="001A0E92" w:rsidRDefault="00715206" w:rsidP="00715206">
      <w:pPr>
        <w:pStyle w:val="a0"/>
        <w:ind w:firstLine="472"/>
      </w:pPr>
    </w:p>
    <w:p w:rsidR="001D39E3" w:rsidRPr="001A0E92" w:rsidRDefault="001D39E3" w:rsidP="00697189">
      <w:pPr>
        <w:pStyle w:val="a0"/>
        <w:ind w:firstLine="472"/>
      </w:pPr>
    </w:p>
    <w:p w:rsidR="001D39E3" w:rsidRPr="001A0E92" w:rsidRDefault="001D39E3" w:rsidP="00697189">
      <w:pPr>
        <w:pStyle w:val="a0"/>
        <w:ind w:firstLine="472"/>
        <w:sectPr w:rsidR="001D39E3" w:rsidRPr="001A0E92" w:rsidSect="00D8781B">
          <w:headerReference w:type="default" r:id="rId45"/>
          <w:footerReference w:type="even" r:id="rId46"/>
          <w:footerReference w:type="default" r:id="rId47"/>
          <w:headerReference w:type="first" r:id="rId48"/>
          <w:footerReference w:type="first" r:id="rId49"/>
          <w:pgSz w:w="11906" w:h="16838"/>
          <w:pgMar w:top="2268" w:right="1701" w:bottom="1701" w:left="1701" w:header="1134" w:footer="851" w:gutter="0"/>
          <w:cols w:space="720"/>
          <w:docGrid w:type="linesAndChars" w:linePitch="514" w:charSpace="-819"/>
        </w:sectPr>
      </w:pPr>
    </w:p>
    <w:p w:rsidR="0032277D" w:rsidRPr="001A0E92" w:rsidRDefault="0032277D" w:rsidP="00933D73">
      <w:pPr>
        <w:pStyle w:val="af2"/>
        <w:spacing w:before="514" w:after="771"/>
      </w:pPr>
      <w:bookmarkStart w:id="14" w:name="_Toc19484727"/>
      <w:bookmarkStart w:id="15" w:name="_Toc145895376"/>
      <w:r w:rsidRPr="001A0E92">
        <w:t>第柒章  勞工</w:t>
      </w:r>
      <w:bookmarkEnd w:id="14"/>
      <w:bookmarkEnd w:id="15"/>
    </w:p>
    <w:p w:rsidR="0032277D" w:rsidRPr="001A0E92" w:rsidRDefault="0032277D" w:rsidP="00741545">
      <w:pPr>
        <w:pStyle w:val="af3"/>
        <w:spacing w:before="257" w:after="257"/>
        <w:ind w:left="632" w:hanging="632"/>
        <w:rPr>
          <w:color w:val="auto"/>
        </w:rPr>
      </w:pPr>
      <w:r w:rsidRPr="001A0E92">
        <w:rPr>
          <w:color w:val="auto"/>
        </w:rPr>
        <w:t>一、勞工素質與結構</w:t>
      </w:r>
    </w:p>
    <w:p w:rsidR="004F0E9D" w:rsidRPr="001A0E92" w:rsidRDefault="004F0E9D" w:rsidP="00715206">
      <w:pPr>
        <w:pStyle w:val="a0"/>
        <w:ind w:firstLine="472"/>
      </w:pPr>
      <w:r w:rsidRPr="001A0E92">
        <w:t>根據斯洛伐克</w:t>
      </w:r>
      <w:r w:rsidRPr="001A0E92">
        <w:t>Profesia</w:t>
      </w:r>
      <w:r w:rsidRPr="001A0E92">
        <w:t>公司所布新聞指出，斯國前五大薪資行業如下：資訊業、電信業、生醫業、電力業、金融業。</w:t>
      </w:r>
    </w:p>
    <w:p w:rsidR="004F0E9D" w:rsidRPr="001A0E92" w:rsidRDefault="004F0E9D" w:rsidP="00715206">
      <w:pPr>
        <w:pStyle w:val="a0"/>
        <w:ind w:firstLine="472"/>
      </w:pPr>
      <w:r w:rsidRPr="001A0E92">
        <w:t>在薪資方面，根據斯洛伐克統計局的官方數據，</w:t>
      </w:r>
      <w:r w:rsidRPr="001A0E92">
        <w:t>2022</w:t>
      </w:r>
      <w:r w:rsidRPr="001A0E92">
        <w:t>年斯洛伐克的最低工資為每月</w:t>
      </w:r>
      <w:r w:rsidRPr="001A0E92">
        <w:t>646</w:t>
      </w:r>
      <w:r w:rsidRPr="001A0E92">
        <w:t>歐元、平均工資為每月</w:t>
      </w:r>
      <w:r w:rsidRPr="001A0E92">
        <w:t>1,304</w:t>
      </w:r>
      <w:r w:rsidRPr="001A0E92">
        <w:t>歐元，較</w:t>
      </w:r>
      <w:r w:rsidRPr="001A0E92">
        <w:t>2021</w:t>
      </w:r>
      <w:r w:rsidRPr="001A0E92">
        <w:t>年增長</w:t>
      </w:r>
      <w:r w:rsidRPr="001A0E92">
        <w:t>7.7%</w:t>
      </w:r>
      <w:r w:rsidRPr="001A0E92">
        <w:t>，但受高通膨影響，民眾實質月薪減少</w:t>
      </w:r>
      <w:r w:rsidRPr="001A0E92">
        <w:t>4.5%</w:t>
      </w:r>
      <w:r w:rsidRPr="001A0E92">
        <w:t>。最高薪資的是資訊及通訊部門（</w:t>
      </w:r>
      <w:r w:rsidRPr="001A0E92">
        <w:t>2,278</w:t>
      </w:r>
      <w:r w:rsidRPr="001A0E92">
        <w:t>歐元）以及電力、燃氣、蒸汽和空調供應部門（</w:t>
      </w:r>
      <w:r w:rsidRPr="001A0E92">
        <w:t>2,014</w:t>
      </w:r>
      <w:r w:rsidRPr="001A0E92">
        <w:t>歐元），最低是住宿和餐飲業（</w:t>
      </w:r>
      <w:r w:rsidRPr="001A0E92">
        <w:t>713</w:t>
      </w:r>
      <w:r w:rsidRPr="001A0E92">
        <w:t>歐元）和建築業（</w:t>
      </w:r>
      <w:r w:rsidRPr="001A0E92">
        <w:t>869</w:t>
      </w:r>
      <w:r w:rsidRPr="001A0E92">
        <w:t>歐元）。另，斯國已公告</w:t>
      </w:r>
      <w:r w:rsidRPr="001A0E92">
        <w:t>2023</w:t>
      </w:r>
      <w:r w:rsidRPr="001A0E92">
        <w:t>年的法定最低薪資為每月</w:t>
      </w:r>
      <w:r w:rsidRPr="001A0E92">
        <w:t>700</w:t>
      </w:r>
      <w:r w:rsidRPr="001A0E92">
        <w:t>歐元。</w:t>
      </w:r>
    </w:p>
    <w:p w:rsidR="004F0E9D" w:rsidRPr="001A0E92" w:rsidRDefault="004F0E9D" w:rsidP="00715206">
      <w:pPr>
        <w:pStyle w:val="af3"/>
        <w:spacing w:before="257" w:after="257"/>
        <w:ind w:left="632" w:hanging="632"/>
        <w:rPr>
          <w:color w:val="auto"/>
        </w:rPr>
      </w:pPr>
      <w:r w:rsidRPr="001A0E92">
        <w:rPr>
          <w:color w:val="auto"/>
        </w:rPr>
        <w:t>二、勞工法令</w:t>
      </w:r>
    </w:p>
    <w:p w:rsidR="004F0E9D" w:rsidRPr="001A0E92" w:rsidRDefault="004F0E9D" w:rsidP="00715206">
      <w:pPr>
        <w:pStyle w:val="a0"/>
        <w:ind w:firstLine="472"/>
      </w:pPr>
      <w:r w:rsidRPr="001A0E92">
        <w:t>斯國有關勞工方面之法律主要有三，其一為勞工法（</w:t>
      </w:r>
      <w:r w:rsidRPr="001A0E92">
        <w:t>Slovak Labor Code Act No. 311/2001 Coll, as amended</w:t>
      </w:r>
      <w:r w:rsidRPr="001A0E92">
        <w:t>）規範斯國勞資關係、勞工薪資及每週最低工時，該法於</w:t>
      </w:r>
      <w:r w:rsidRPr="001A0E92">
        <w:t>2011</w:t>
      </w:r>
      <w:r w:rsidRPr="001A0E92">
        <w:t>年</w:t>
      </w:r>
      <w:r w:rsidRPr="001A0E92">
        <w:t>7</w:t>
      </w:r>
      <w:r w:rsidRPr="001A0E92">
        <w:t>月</w:t>
      </w:r>
      <w:r w:rsidRPr="001A0E92">
        <w:t>13</w:t>
      </w:r>
      <w:r w:rsidRPr="001A0E92">
        <w:t>日七度修正通過，並於同年</w:t>
      </w:r>
      <w:r w:rsidRPr="001A0E92">
        <w:t>9</w:t>
      </w:r>
      <w:r w:rsidRPr="001A0E92">
        <w:t>月</w:t>
      </w:r>
      <w:r w:rsidRPr="001A0E92">
        <w:t>1</w:t>
      </w:r>
      <w:r w:rsidRPr="001A0E92">
        <w:t>日開始施行</w:t>
      </w:r>
      <w:r w:rsidRPr="001A0E92">
        <w:rPr>
          <w:rStyle w:val="a9"/>
          <w:kern w:val="0"/>
        </w:rPr>
        <w:footnoteReference w:id="10"/>
      </w:r>
      <w:r w:rsidRPr="001A0E92">
        <w:t>。其二為勞工社會保險法（</w:t>
      </w:r>
      <w:r w:rsidRPr="001A0E92">
        <w:t>Social Insurance Act No.461/2003 Coll, as amended</w:t>
      </w:r>
      <w:r w:rsidRPr="001A0E92">
        <w:t>）係規範斯國勞工保險與福利。其三為有關斯國勞工退休後之福利與撫卹之法規（</w:t>
      </w:r>
      <w:r w:rsidRPr="001A0E92">
        <w:t>Act No. 123/1996 Coll., on additional pension insurance, as amended</w:t>
      </w:r>
      <w:r w:rsidRPr="001A0E92">
        <w:t>），茲綜述如下：</w:t>
      </w:r>
    </w:p>
    <w:p w:rsidR="00715206" w:rsidRPr="001A0E92" w:rsidRDefault="00715206" w:rsidP="00715206">
      <w:pPr>
        <w:pStyle w:val="af8"/>
        <w:ind w:left="944" w:hanging="708"/>
      </w:pPr>
    </w:p>
    <w:p w:rsidR="004F0E9D" w:rsidRPr="001A0E92" w:rsidRDefault="004F0E9D" w:rsidP="00715206">
      <w:pPr>
        <w:pStyle w:val="af8"/>
        <w:ind w:left="944" w:hanging="708"/>
      </w:pPr>
      <w:r w:rsidRPr="001A0E92">
        <w:t>（一）工作時數：每週最長工作時間為</w:t>
      </w:r>
      <w:r w:rsidRPr="001A0E92">
        <w:t>40</w:t>
      </w:r>
      <w:r w:rsidRPr="001A0E92">
        <w:t>小時。如雇主需要員工加班，年度總加班時數不得超過</w:t>
      </w:r>
      <w:r w:rsidRPr="001A0E92">
        <w:t>400</w:t>
      </w:r>
      <w:r w:rsidRPr="001A0E92">
        <w:t>小時。一年內工作至少</w:t>
      </w:r>
      <w:r w:rsidRPr="001A0E92">
        <w:t>60</w:t>
      </w:r>
      <w:r w:rsidRPr="001A0E92">
        <w:t>天的雇員，有權按比例享受帶薪年假，基本年假權利至少為</w:t>
      </w:r>
      <w:r w:rsidRPr="001A0E92">
        <w:t>4</w:t>
      </w:r>
      <w:r w:rsidRPr="001A0E92">
        <w:t>週。</w:t>
      </w:r>
    </w:p>
    <w:p w:rsidR="004F0E9D" w:rsidRPr="001A0E92" w:rsidRDefault="004F0E9D" w:rsidP="00715206">
      <w:pPr>
        <w:pStyle w:val="af8"/>
        <w:ind w:left="944" w:hanging="708"/>
      </w:pPr>
      <w:r w:rsidRPr="001A0E92">
        <w:t>（二）退休年齡：</w:t>
      </w:r>
      <w:r w:rsidRPr="001A0E92">
        <w:t>62</w:t>
      </w:r>
      <w:r w:rsidRPr="001A0E92">
        <w:t>歲屆齡退休，男女適用。</w:t>
      </w:r>
    </w:p>
    <w:p w:rsidR="004F0E9D" w:rsidRPr="001A0E92" w:rsidRDefault="004F0E9D" w:rsidP="00715206">
      <w:pPr>
        <w:pStyle w:val="af8"/>
        <w:ind w:left="944" w:hanging="708"/>
      </w:pPr>
      <w:r w:rsidRPr="001A0E92">
        <w:t>（三）終止僱傭關係：僱傭合約可由雙方書面終止，法定最短通知期為</w:t>
      </w:r>
      <w:r w:rsidRPr="001A0E92">
        <w:t>1</w:t>
      </w:r>
      <w:r w:rsidRPr="001A0E92">
        <w:t>個月，但若雇員受僱至少</w:t>
      </w:r>
      <w:r w:rsidRPr="001A0E92">
        <w:t>1</w:t>
      </w:r>
      <w:r w:rsidRPr="001A0E92">
        <w:t>年但少於</w:t>
      </w:r>
      <w:r w:rsidRPr="001A0E92">
        <w:t>5</w:t>
      </w:r>
      <w:r w:rsidRPr="001A0E92">
        <w:t>年須於</w:t>
      </w:r>
      <w:r w:rsidRPr="001A0E92">
        <w:t>2</w:t>
      </w:r>
      <w:r w:rsidRPr="001A0E92">
        <w:t>個月前通知，</w:t>
      </w:r>
      <w:r w:rsidRPr="001A0E92">
        <w:t>5</w:t>
      </w:r>
      <w:r w:rsidRPr="001A0E92">
        <w:t>年以上者須</w:t>
      </w:r>
      <w:r w:rsidRPr="001A0E92">
        <w:t>3</w:t>
      </w:r>
      <w:r w:rsidRPr="001A0E92">
        <w:t>個月。</w:t>
      </w:r>
    </w:p>
    <w:p w:rsidR="004F0E9D" w:rsidRPr="001A0E92" w:rsidRDefault="004F0E9D" w:rsidP="00715206">
      <w:pPr>
        <w:pStyle w:val="af8"/>
        <w:ind w:left="944" w:hanging="708"/>
      </w:pPr>
      <w:r w:rsidRPr="001A0E92">
        <w:t>（四）工會：斯國儘管有工會存在，一般而言遊行示威較罕見</w:t>
      </w:r>
      <w:r w:rsidRPr="001A0E92">
        <w:rPr>
          <w:rStyle w:val="a9"/>
          <w:kern w:val="0"/>
          <w:szCs w:val="20"/>
        </w:rPr>
        <w:footnoteReference w:id="11"/>
      </w:r>
      <w:r w:rsidR="00715206" w:rsidRPr="001A0E92">
        <w:t>。</w:t>
      </w:r>
      <w:r w:rsidRPr="001A0E92">
        <w:t>2007</w:t>
      </w:r>
      <w:r w:rsidRPr="001A0E92">
        <w:t>年修正之勞工法賦予工會較大權限，規定依公會人數多寡，企業需給付員工參與工會人數每月固定薪酬</w:t>
      </w:r>
    </w:p>
    <w:p w:rsidR="004F0E9D" w:rsidRPr="001A0E92" w:rsidRDefault="004F0E9D" w:rsidP="00715206">
      <w:pPr>
        <w:pStyle w:val="af8"/>
        <w:ind w:left="944" w:hanging="708"/>
      </w:pPr>
      <w:r w:rsidRPr="001A0E92">
        <w:t>（五）社會安全及醫療保險：斯國加入歐盟後，其社會安全及醫療保險以及雇主及自僱（</w:t>
      </w:r>
      <w:r w:rsidRPr="001A0E92">
        <w:t>Self-Employed</w:t>
      </w:r>
      <w:r w:rsidRPr="001A0E92">
        <w:t>）相關規範悉按歐盟執委會</w:t>
      </w:r>
      <w:r w:rsidRPr="001A0E92">
        <w:t>EEC No. 1408/71</w:t>
      </w:r>
      <w:r w:rsidRPr="001A0E92">
        <w:t>之指令辦理。其中員工自付額為薪水之</w:t>
      </w:r>
      <w:r w:rsidRPr="001A0E92">
        <w:t>13.4%</w:t>
      </w:r>
      <w:r w:rsidRPr="001A0E92">
        <w:t>，雇主則分攤薪資之</w:t>
      </w:r>
      <w:r w:rsidRPr="001A0E92">
        <w:t>35.2%</w:t>
      </w:r>
      <w:r w:rsidRPr="001A0E92">
        <w:t>。社會保險包括退休保險、殘障險、病假險、失業險、健康保險、受傷險、退撫基金等，詳如下表</w:t>
      </w:r>
    </w:p>
    <w:p w:rsidR="004C1279" w:rsidRPr="001A0E92" w:rsidRDefault="004C1279">
      <w:pPr>
        <w:widowControl/>
        <w:pBdr>
          <w:top w:val="none" w:sz="0" w:space="0" w:color="auto"/>
          <w:left w:val="none" w:sz="0" w:space="0" w:color="auto"/>
          <w:bottom w:val="none" w:sz="0" w:space="0" w:color="auto"/>
          <w:right w:val="none" w:sz="0" w:space="0" w:color="auto"/>
        </w:pBdr>
        <w:overflowPunct/>
        <w:autoSpaceDE/>
        <w:autoSpaceDN/>
        <w:jc w:val="left"/>
        <w:rPr>
          <w:rFonts w:eastAsia="華康粗圓體"/>
          <w:kern w:val="1"/>
          <w:lang w:val="x-none"/>
        </w:rPr>
      </w:pPr>
      <w:r w:rsidRPr="001A0E92">
        <w:br w:type="page"/>
      </w:r>
    </w:p>
    <w:p w:rsidR="00D73808" w:rsidRPr="001A0E92" w:rsidRDefault="00D73808" w:rsidP="00715206">
      <w:pPr>
        <w:pStyle w:val="aff1"/>
      </w:pPr>
      <w:r w:rsidRPr="001A0E92">
        <w:t>斯國社會保險涵蓋項目及負擔分配</w:t>
      </w:r>
    </w:p>
    <w:tbl>
      <w:tblPr>
        <w:tblW w:w="8400" w:type="dxa"/>
        <w:tblInd w:w="-11" w:type="dxa"/>
        <w:tblLayout w:type="fixed"/>
        <w:tblCellMar>
          <w:left w:w="10" w:type="dxa"/>
          <w:right w:w="10" w:type="dxa"/>
        </w:tblCellMar>
        <w:tblLook w:val="04A0" w:firstRow="1" w:lastRow="0" w:firstColumn="1" w:lastColumn="0" w:noHBand="0" w:noVBand="1"/>
      </w:tblPr>
      <w:tblGrid>
        <w:gridCol w:w="3074"/>
        <w:gridCol w:w="2662"/>
        <w:gridCol w:w="2664"/>
      </w:tblGrid>
      <w:tr w:rsidR="001A0E92" w:rsidRPr="001A0E92" w:rsidTr="00AA398B">
        <w:trPr>
          <w:trHeight w:val="567"/>
          <w:tblHeader/>
        </w:trPr>
        <w:tc>
          <w:tcPr>
            <w:tcW w:w="3074" w:type="dxa"/>
            <w:tcBorders>
              <w:top w:val="single" w:sz="12"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社險項目</w:t>
            </w:r>
          </w:p>
        </w:tc>
        <w:tc>
          <w:tcPr>
            <w:tcW w:w="2662" w:type="dxa"/>
            <w:tcBorders>
              <w:top w:val="single" w:sz="12"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員工負擔（</w:t>
            </w:r>
            <w:r w:rsidRPr="001A0E92">
              <w:t>%</w:t>
            </w:r>
            <w:r w:rsidRPr="001A0E92">
              <w:t>）</w:t>
            </w:r>
          </w:p>
        </w:tc>
        <w:tc>
          <w:tcPr>
            <w:tcW w:w="2664" w:type="dxa"/>
            <w:tcBorders>
              <w:top w:val="single" w:sz="12"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雇主負擔（</w:t>
            </w:r>
            <w:r w:rsidRPr="001A0E92">
              <w:t>%</w:t>
            </w:r>
            <w:r w:rsidRPr="001A0E92">
              <w:t>）</w:t>
            </w:r>
          </w:p>
        </w:tc>
      </w:tr>
      <w:tr w:rsidR="001A0E92" w:rsidRPr="001A0E92" w:rsidTr="00AA398B">
        <w:trPr>
          <w:trHeight w:val="567"/>
        </w:trPr>
        <w:tc>
          <w:tcPr>
            <w:tcW w:w="3074" w:type="dxa"/>
            <w:tcBorders>
              <w:top w:val="single" w:sz="6"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退休險</w:t>
            </w:r>
          </w:p>
        </w:tc>
        <w:tc>
          <w:tcPr>
            <w:tcW w:w="2662" w:type="dxa"/>
            <w:tcBorders>
              <w:top w:val="single" w:sz="6"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4%</w:t>
            </w:r>
          </w:p>
        </w:tc>
        <w:tc>
          <w:tcPr>
            <w:tcW w:w="2664" w:type="dxa"/>
            <w:tcBorders>
              <w:top w:val="single" w:sz="6"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14%</w:t>
            </w:r>
          </w:p>
        </w:tc>
      </w:tr>
      <w:tr w:rsidR="001A0E92" w:rsidRPr="001A0E92" w:rsidTr="00AA398B">
        <w:trPr>
          <w:trHeight w:val="567"/>
        </w:trPr>
        <w:tc>
          <w:tcPr>
            <w:tcW w:w="3074" w:type="dxa"/>
            <w:tcBorders>
              <w:top w:val="single" w:sz="6"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殘障險</w:t>
            </w:r>
          </w:p>
        </w:tc>
        <w:tc>
          <w:tcPr>
            <w:tcW w:w="2662" w:type="dxa"/>
            <w:tcBorders>
              <w:top w:val="single" w:sz="6"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3%</w:t>
            </w:r>
          </w:p>
        </w:tc>
        <w:tc>
          <w:tcPr>
            <w:tcW w:w="2664" w:type="dxa"/>
            <w:tcBorders>
              <w:top w:val="single" w:sz="6"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3%</w:t>
            </w:r>
          </w:p>
        </w:tc>
      </w:tr>
      <w:tr w:rsidR="001A0E92" w:rsidRPr="001A0E92" w:rsidTr="00AA398B">
        <w:trPr>
          <w:trHeight w:val="567"/>
        </w:trPr>
        <w:tc>
          <w:tcPr>
            <w:tcW w:w="3074" w:type="dxa"/>
            <w:tcBorders>
              <w:top w:val="single" w:sz="6"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病假險</w:t>
            </w:r>
          </w:p>
        </w:tc>
        <w:tc>
          <w:tcPr>
            <w:tcW w:w="2662" w:type="dxa"/>
            <w:tcBorders>
              <w:top w:val="single" w:sz="6"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1.4%</w:t>
            </w:r>
          </w:p>
        </w:tc>
        <w:tc>
          <w:tcPr>
            <w:tcW w:w="2664" w:type="dxa"/>
            <w:tcBorders>
              <w:top w:val="single" w:sz="6"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1.4%</w:t>
            </w:r>
          </w:p>
        </w:tc>
      </w:tr>
      <w:tr w:rsidR="001A0E92" w:rsidRPr="001A0E92" w:rsidTr="00AA398B">
        <w:trPr>
          <w:trHeight w:val="567"/>
        </w:trPr>
        <w:tc>
          <w:tcPr>
            <w:tcW w:w="3074" w:type="dxa"/>
            <w:tcBorders>
              <w:top w:val="single" w:sz="6"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失業險</w:t>
            </w:r>
          </w:p>
        </w:tc>
        <w:tc>
          <w:tcPr>
            <w:tcW w:w="2662" w:type="dxa"/>
            <w:tcBorders>
              <w:top w:val="single" w:sz="6"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1%</w:t>
            </w:r>
          </w:p>
        </w:tc>
        <w:tc>
          <w:tcPr>
            <w:tcW w:w="2664" w:type="dxa"/>
            <w:tcBorders>
              <w:top w:val="single" w:sz="6"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1%</w:t>
            </w:r>
          </w:p>
        </w:tc>
      </w:tr>
      <w:tr w:rsidR="001A0E92" w:rsidRPr="001A0E92" w:rsidTr="00AA398B">
        <w:trPr>
          <w:trHeight w:val="567"/>
        </w:trPr>
        <w:tc>
          <w:tcPr>
            <w:tcW w:w="3074" w:type="dxa"/>
            <w:tcBorders>
              <w:top w:val="single" w:sz="6"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退撫基金</w:t>
            </w:r>
          </w:p>
        </w:tc>
        <w:tc>
          <w:tcPr>
            <w:tcW w:w="2662" w:type="dxa"/>
            <w:tcBorders>
              <w:top w:val="single" w:sz="6"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0%</w:t>
            </w:r>
          </w:p>
        </w:tc>
        <w:tc>
          <w:tcPr>
            <w:tcW w:w="2664" w:type="dxa"/>
            <w:tcBorders>
              <w:top w:val="single" w:sz="6"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4.75%</w:t>
            </w:r>
          </w:p>
        </w:tc>
      </w:tr>
      <w:tr w:rsidR="001A0E92" w:rsidRPr="001A0E92" w:rsidTr="00AA398B">
        <w:trPr>
          <w:trHeight w:val="567"/>
        </w:trPr>
        <w:tc>
          <w:tcPr>
            <w:tcW w:w="3074" w:type="dxa"/>
            <w:tcBorders>
              <w:top w:val="single" w:sz="6"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強制險</w:t>
            </w:r>
          </w:p>
        </w:tc>
        <w:tc>
          <w:tcPr>
            <w:tcW w:w="2662" w:type="dxa"/>
            <w:tcBorders>
              <w:top w:val="single" w:sz="6"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0%</w:t>
            </w:r>
          </w:p>
        </w:tc>
        <w:tc>
          <w:tcPr>
            <w:tcW w:w="2664" w:type="dxa"/>
            <w:tcBorders>
              <w:top w:val="single" w:sz="6"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0.25%</w:t>
            </w:r>
          </w:p>
        </w:tc>
      </w:tr>
      <w:tr w:rsidR="001A0E92" w:rsidRPr="001A0E92" w:rsidTr="00AA398B">
        <w:trPr>
          <w:trHeight w:val="567"/>
        </w:trPr>
        <w:tc>
          <w:tcPr>
            <w:tcW w:w="3074" w:type="dxa"/>
            <w:tcBorders>
              <w:top w:val="single" w:sz="6"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proofErr w:type="gramStart"/>
            <w:r w:rsidRPr="001A0E92">
              <w:t>傷險</w:t>
            </w:r>
            <w:proofErr w:type="gramEnd"/>
          </w:p>
        </w:tc>
        <w:tc>
          <w:tcPr>
            <w:tcW w:w="2662" w:type="dxa"/>
            <w:tcBorders>
              <w:top w:val="single" w:sz="6"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0%</w:t>
            </w:r>
          </w:p>
        </w:tc>
        <w:tc>
          <w:tcPr>
            <w:tcW w:w="2664" w:type="dxa"/>
            <w:tcBorders>
              <w:top w:val="single" w:sz="6"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0.8%</w:t>
            </w:r>
          </w:p>
        </w:tc>
      </w:tr>
      <w:tr w:rsidR="001A0E92" w:rsidRPr="001A0E92" w:rsidTr="00AA398B">
        <w:trPr>
          <w:trHeight w:val="567"/>
        </w:trPr>
        <w:tc>
          <w:tcPr>
            <w:tcW w:w="3074" w:type="dxa"/>
            <w:tcBorders>
              <w:top w:val="single" w:sz="6" w:space="0" w:color="00000A"/>
              <w:left w:val="single" w:sz="12"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健保</w:t>
            </w:r>
            <w:r w:rsidRPr="001A0E92">
              <w:rPr>
                <w:rStyle w:val="a9"/>
              </w:rPr>
              <w:footnoteReference w:id="12"/>
            </w:r>
          </w:p>
        </w:tc>
        <w:tc>
          <w:tcPr>
            <w:tcW w:w="2662" w:type="dxa"/>
            <w:tcBorders>
              <w:top w:val="single" w:sz="6" w:space="0" w:color="00000A"/>
              <w:left w:val="single" w:sz="6" w:space="0" w:color="00000A"/>
              <w:bottom w:val="single" w:sz="6"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4%</w:t>
            </w:r>
          </w:p>
        </w:tc>
        <w:tc>
          <w:tcPr>
            <w:tcW w:w="2664" w:type="dxa"/>
            <w:tcBorders>
              <w:top w:val="single" w:sz="6" w:space="0" w:color="00000A"/>
              <w:left w:val="single" w:sz="6" w:space="0" w:color="00000A"/>
              <w:bottom w:val="single" w:sz="6"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10%</w:t>
            </w:r>
          </w:p>
        </w:tc>
      </w:tr>
      <w:tr w:rsidR="001A0E92" w:rsidRPr="001A0E92" w:rsidTr="00AA398B">
        <w:trPr>
          <w:trHeight w:val="567"/>
        </w:trPr>
        <w:tc>
          <w:tcPr>
            <w:tcW w:w="3074" w:type="dxa"/>
            <w:tcBorders>
              <w:top w:val="single" w:sz="6" w:space="0" w:color="00000A"/>
              <w:left w:val="single" w:sz="12" w:space="0" w:color="00000A"/>
              <w:bottom w:val="single" w:sz="12"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總額</w:t>
            </w:r>
          </w:p>
        </w:tc>
        <w:tc>
          <w:tcPr>
            <w:tcW w:w="2662" w:type="dxa"/>
            <w:tcBorders>
              <w:top w:val="single" w:sz="6" w:space="0" w:color="00000A"/>
              <w:left w:val="single" w:sz="6" w:space="0" w:color="00000A"/>
              <w:bottom w:val="single" w:sz="12" w:space="0" w:color="00000A"/>
              <w:right w:val="single" w:sz="6"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13.4%</w:t>
            </w:r>
          </w:p>
        </w:tc>
        <w:tc>
          <w:tcPr>
            <w:tcW w:w="2664" w:type="dxa"/>
            <w:tcBorders>
              <w:top w:val="single" w:sz="6" w:space="0" w:color="00000A"/>
              <w:left w:val="single" w:sz="6" w:space="0" w:color="00000A"/>
              <w:bottom w:val="single" w:sz="12" w:space="0" w:color="00000A"/>
              <w:right w:val="single" w:sz="12" w:space="0" w:color="00000A"/>
            </w:tcBorders>
            <w:shd w:val="clear" w:color="auto" w:fill="auto"/>
            <w:tcMar>
              <w:top w:w="0" w:type="dxa"/>
              <w:left w:w="19" w:type="dxa"/>
              <w:bottom w:w="0" w:type="dxa"/>
              <w:right w:w="28" w:type="dxa"/>
            </w:tcMar>
            <w:vAlign w:val="center"/>
          </w:tcPr>
          <w:p w:rsidR="00D73808" w:rsidRPr="001A0E92" w:rsidRDefault="00D73808" w:rsidP="00715206">
            <w:pPr>
              <w:pStyle w:val="aff"/>
            </w:pPr>
            <w:r w:rsidRPr="001A0E92">
              <w:t>35.2%</w:t>
            </w:r>
          </w:p>
        </w:tc>
      </w:tr>
    </w:tbl>
    <w:p w:rsidR="001D39E3" w:rsidRPr="001A0E92" w:rsidRDefault="001D39E3">
      <w:pPr>
        <w:pStyle w:val="a0"/>
        <w:ind w:firstLine="472"/>
      </w:pPr>
    </w:p>
    <w:p w:rsidR="001D39E3" w:rsidRPr="001A0E92" w:rsidRDefault="001D39E3">
      <w:pPr>
        <w:widowControl/>
        <w:pBdr>
          <w:top w:val="none" w:sz="0" w:space="0" w:color="auto"/>
          <w:left w:val="none" w:sz="0" w:space="0" w:color="auto"/>
          <w:bottom w:val="none" w:sz="0" w:space="0" w:color="auto"/>
          <w:right w:val="none" w:sz="0" w:space="0" w:color="auto"/>
        </w:pBdr>
        <w:overflowPunct/>
        <w:autoSpaceDE/>
        <w:autoSpaceDN/>
        <w:jc w:val="left"/>
        <w:rPr>
          <w:kern w:val="1"/>
          <w:lang w:val="x-none"/>
        </w:rPr>
      </w:pPr>
      <w:r w:rsidRPr="001A0E92">
        <w:br w:type="page"/>
      </w:r>
    </w:p>
    <w:p w:rsidR="0032277D" w:rsidRPr="001A0E92" w:rsidRDefault="0032277D">
      <w:pPr>
        <w:pStyle w:val="a0"/>
        <w:ind w:firstLine="472"/>
      </w:pPr>
    </w:p>
    <w:p w:rsidR="0032277D" w:rsidRPr="001A0E92" w:rsidRDefault="0032277D">
      <w:pPr>
        <w:sectPr w:rsidR="0032277D" w:rsidRPr="001A0E92" w:rsidSect="00D8781B">
          <w:headerReference w:type="default" r:id="rId50"/>
          <w:footerReference w:type="even" r:id="rId51"/>
          <w:footerReference w:type="default" r:id="rId52"/>
          <w:headerReference w:type="first" r:id="rId53"/>
          <w:footerReference w:type="first" r:id="rId54"/>
          <w:pgSz w:w="11906" w:h="16838"/>
          <w:pgMar w:top="2268" w:right="1701" w:bottom="1701" w:left="1701" w:header="1134" w:footer="851" w:gutter="0"/>
          <w:cols w:space="720"/>
          <w:docGrid w:type="linesAndChars" w:linePitch="514" w:charSpace="-819"/>
        </w:sectPr>
      </w:pPr>
    </w:p>
    <w:p w:rsidR="0032277D" w:rsidRPr="001A0E92" w:rsidRDefault="0032277D" w:rsidP="00933D73">
      <w:pPr>
        <w:pStyle w:val="af2"/>
        <w:spacing w:before="514" w:after="771"/>
      </w:pPr>
      <w:bookmarkStart w:id="16" w:name="_Toc19484728"/>
      <w:bookmarkStart w:id="17" w:name="_Toc145895377"/>
      <w:r w:rsidRPr="001A0E92">
        <w:t>第捌章  簽證、居留及移民</w:t>
      </w:r>
      <w:bookmarkEnd w:id="16"/>
      <w:bookmarkEnd w:id="17"/>
    </w:p>
    <w:p w:rsidR="0032277D" w:rsidRPr="001A0E92" w:rsidRDefault="0032277D">
      <w:pPr>
        <w:pStyle w:val="af3"/>
        <w:spacing w:before="257" w:after="257"/>
        <w:ind w:left="632" w:hanging="632"/>
        <w:rPr>
          <w:color w:val="auto"/>
        </w:rPr>
      </w:pPr>
      <w:r w:rsidRPr="001A0E92">
        <w:rPr>
          <w:color w:val="auto"/>
        </w:rPr>
        <w:t>一、簽證、居留及移民相關規定</w:t>
      </w:r>
    </w:p>
    <w:p w:rsidR="004F0E9D" w:rsidRPr="001A0E92" w:rsidRDefault="004F0E9D" w:rsidP="00715206">
      <w:pPr>
        <w:pStyle w:val="a0"/>
        <w:ind w:firstLine="472"/>
      </w:pPr>
      <w:r w:rsidRPr="001A0E92">
        <w:t>我國人民如因商務需要前來斯國投資設廠或成立分公司，依照「外國人居留法」（</w:t>
      </w:r>
      <w:r w:rsidRPr="001A0E92">
        <w:t>Act No 48/2002 Coll</w:t>
      </w:r>
      <w:r w:rsidRPr="001A0E92">
        <w:t>）之規定，須先取得斯國短期免簽入境（</w:t>
      </w:r>
      <w:r w:rsidRPr="001A0E92">
        <w:t>short term stay</w:t>
      </w:r>
      <w:r w:rsidRPr="001A0E92">
        <w:t>）。從</w:t>
      </w:r>
      <w:r w:rsidRPr="001A0E92">
        <w:t>2011</w:t>
      </w:r>
      <w:r w:rsidRPr="001A0E92">
        <w:t>年</w:t>
      </w:r>
      <w:r w:rsidRPr="001A0E92">
        <w:t>1</w:t>
      </w:r>
      <w:r w:rsidRPr="001A0E92">
        <w:t>月</w:t>
      </w:r>
      <w:r w:rsidRPr="001A0E92">
        <w:t>11</w:t>
      </w:r>
      <w:r w:rsidRPr="001A0E92">
        <w:t>日起，臺灣護照持有人可免簽進入歐盟和申根區停留不超過</w:t>
      </w:r>
      <w:r w:rsidRPr="001A0E92">
        <w:t>90</w:t>
      </w:r>
      <w:r w:rsidRPr="001A0E92">
        <w:t>天，包括旅遊，學習或商務目的。但如停留超過</w:t>
      </w:r>
      <w:r w:rsidRPr="001A0E92">
        <w:t>3</w:t>
      </w:r>
      <w:r w:rsidRPr="001A0E92">
        <w:t>個月，則仍需要獲得成員國居留許可或國家簽證。</w:t>
      </w:r>
    </w:p>
    <w:p w:rsidR="004F0E9D" w:rsidRPr="001A0E92" w:rsidRDefault="004F0E9D" w:rsidP="00715206">
      <w:pPr>
        <w:pStyle w:val="a0"/>
        <w:ind w:firstLine="472"/>
      </w:pPr>
      <w:r w:rsidRPr="001A0E92">
        <w:t>簽證種類包括：</w:t>
      </w:r>
    </w:p>
    <w:p w:rsidR="004F0E9D" w:rsidRPr="001A0E92" w:rsidRDefault="004F0E9D" w:rsidP="00715206">
      <w:pPr>
        <w:pStyle w:val="af8"/>
        <w:ind w:left="944" w:hanging="708"/>
      </w:pPr>
      <w:r w:rsidRPr="001A0E92">
        <w:t>（一）申根</w:t>
      </w:r>
      <w:r w:rsidRPr="001A0E92">
        <w:t>A</w:t>
      </w:r>
      <w:r w:rsidRPr="001A0E92">
        <w:t>類簽證：機場過境簽證（</w:t>
      </w:r>
      <w:r w:rsidRPr="001A0E92">
        <w:t>airport transit visa</w:t>
      </w:r>
      <w:r w:rsidRPr="001A0E92">
        <w:t>）</w:t>
      </w:r>
    </w:p>
    <w:p w:rsidR="004F0E9D" w:rsidRPr="001A0E92" w:rsidRDefault="004F0E9D" w:rsidP="00715206">
      <w:pPr>
        <w:pStyle w:val="af8"/>
        <w:ind w:left="944" w:hanging="708"/>
      </w:pPr>
      <w:r w:rsidRPr="001A0E92">
        <w:t>（二）申根</w:t>
      </w:r>
      <w:r w:rsidRPr="001A0E92">
        <w:t>C</w:t>
      </w:r>
      <w:r w:rsidRPr="001A0E92">
        <w:t>類簽證：統一短期居留簽證（</w:t>
      </w:r>
      <w:r w:rsidRPr="001A0E92">
        <w:t>uniform short stay visa</w:t>
      </w:r>
      <w:r w:rsidRPr="001A0E92">
        <w:t>），簽證使持有人在</w:t>
      </w:r>
      <w:r w:rsidRPr="001A0E92">
        <w:t>180</w:t>
      </w:r>
      <w:r w:rsidRPr="001A0E92">
        <w:t>天內最多可以進入和停留在申根地區不超過</w:t>
      </w:r>
      <w:r w:rsidRPr="001A0E92">
        <w:t>90</w:t>
      </w:r>
      <w:r w:rsidRPr="001A0E92">
        <w:t>天。可以單次、兩次或多次入境簽發該簽證。</w:t>
      </w:r>
    </w:p>
    <w:p w:rsidR="004F0E9D" w:rsidRPr="001A0E92" w:rsidRDefault="004F0E9D" w:rsidP="00715206">
      <w:pPr>
        <w:pStyle w:val="af8"/>
        <w:ind w:left="944" w:hanging="708"/>
      </w:pPr>
      <w:r w:rsidRPr="001A0E92">
        <w:t>（三）申根</w:t>
      </w:r>
      <w:r w:rsidRPr="001A0E92">
        <w:t>D</w:t>
      </w:r>
      <w:r w:rsidRPr="001A0E92">
        <w:t>類簽證：長期居留（</w:t>
      </w:r>
      <w:r w:rsidRPr="001A0E92">
        <w:t>long-stay</w:t>
      </w:r>
      <w:r w:rsidRPr="001A0E92">
        <w:t>）</w:t>
      </w:r>
    </w:p>
    <w:p w:rsidR="004F0E9D" w:rsidRPr="001A0E92" w:rsidRDefault="004F0E9D" w:rsidP="00715206">
      <w:pPr>
        <w:pStyle w:val="a0"/>
        <w:ind w:firstLine="472"/>
      </w:pPr>
      <w:r w:rsidRPr="001A0E92">
        <w:t>根據已頒發的居留許可，或與斯洛伐克根據國際條約所作的承諾，或為斯洛伐克共和國的利益簽發的國家（長期）簽證。長期簽證持有人可前往其他歐盟成員國（簽發簽證的國家的邊界之外），但是在任何六個月的期間內，逗留總數不得超過</w:t>
      </w:r>
      <w:r w:rsidRPr="001A0E92">
        <w:t>90</w:t>
      </w:r>
      <w:r w:rsidRPr="001A0E92">
        <w:t>天。</w:t>
      </w:r>
    </w:p>
    <w:p w:rsidR="004F0E9D" w:rsidRPr="001A0E92" w:rsidRDefault="004F0E9D" w:rsidP="00715206">
      <w:pPr>
        <w:pStyle w:val="a0"/>
        <w:ind w:firstLine="472"/>
      </w:pPr>
      <w:r w:rsidRPr="001A0E92">
        <w:t>申請長期居留簽證之必要文件：</w:t>
      </w:r>
    </w:p>
    <w:p w:rsidR="004F0E9D" w:rsidRPr="001A0E92" w:rsidRDefault="004F0E9D" w:rsidP="00715206">
      <w:pPr>
        <w:pStyle w:val="af8"/>
        <w:ind w:left="944" w:hanging="708"/>
      </w:pPr>
      <w:r w:rsidRPr="001A0E92">
        <w:t>（一）填寫國家簽證申請表</w:t>
      </w:r>
    </w:p>
    <w:p w:rsidR="004F0E9D" w:rsidRPr="001A0E92" w:rsidRDefault="004F0E9D" w:rsidP="00715206">
      <w:pPr>
        <w:pStyle w:val="af8"/>
        <w:ind w:left="944" w:hanging="708"/>
      </w:pPr>
      <w:r w:rsidRPr="001A0E92">
        <w:t>（二）斯洛伐克認可的有效護照</w:t>
      </w:r>
    </w:p>
    <w:p w:rsidR="004F0E9D" w:rsidRPr="001A0E92" w:rsidRDefault="004F0E9D" w:rsidP="00715206">
      <w:pPr>
        <w:pStyle w:val="af8"/>
        <w:ind w:left="944" w:hanging="708"/>
      </w:pPr>
      <w:r w:rsidRPr="001A0E92">
        <w:t>（三）彩色近期照片</w:t>
      </w:r>
      <w:r w:rsidRPr="001A0E92">
        <w:t>3 x 3,5 cm</w:t>
      </w:r>
      <w:r w:rsidRPr="001A0E92">
        <w:t>（</w:t>
      </w:r>
      <w:r w:rsidRPr="001A0E92">
        <w:t>1,2 x 1,4</w:t>
      </w:r>
      <w:r w:rsidRPr="001A0E92">
        <w:t>英寸）</w:t>
      </w:r>
    </w:p>
    <w:p w:rsidR="004F0E9D" w:rsidRPr="001A0E92" w:rsidRDefault="004F0E9D" w:rsidP="00715206">
      <w:pPr>
        <w:pStyle w:val="af8"/>
        <w:ind w:left="944" w:hanging="708"/>
      </w:pPr>
      <w:r w:rsidRPr="001A0E92">
        <w:t>（四）旅行目的相關佐證證件</w:t>
      </w:r>
    </w:p>
    <w:p w:rsidR="004F0E9D" w:rsidRPr="001A0E92" w:rsidRDefault="004F0E9D" w:rsidP="00715206">
      <w:pPr>
        <w:pStyle w:val="af8"/>
        <w:ind w:left="944" w:hanging="708"/>
      </w:pPr>
      <w:r w:rsidRPr="001A0E92">
        <w:t>（五）旅行保險</w:t>
      </w:r>
    </w:p>
    <w:p w:rsidR="004F0E9D" w:rsidRPr="001A0E92" w:rsidRDefault="004F0E9D" w:rsidP="00715206">
      <w:pPr>
        <w:pStyle w:val="af8"/>
        <w:ind w:left="944" w:hanging="708"/>
      </w:pPr>
      <w:r w:rsidRPr="001A0E92">
        <w:t>（六）申請與在斯洛伐克共和國發放居留許可有關的國家簽證的人，必須提交所有必要的文件，以提交授予居留許可的申請（請參閱斯洛伐克共和國居留許可）</w:t>
      </w:r>
    </w:p>
    <w:p w:rsidR="004F0E9D" w:rsidRPr="001A0E92" w:rsidRDefault="004F0E9D" w:rsidP="00715206">
      <w:pPr>
        <w:pStyle w:val="af8"/>
        <w:ind w:left="944" w:hanging="708"/>
      </w:pPr>
      <w:r w:rsidRPr="001A0E92">
        <w:t>（七）申請與接受居留許可有關的國家簽證的人語言學校的語言教育也必須提交證明有足夠經濟能力的文件和證明住宿的文件，如果在旅行支持文件中未提及上述資訊。</w:t>
      </w:r>
    </w:p>
    <w:p w:rsidR="004F0E9D" w:rsidRPr="001A0E92" w:rsidRDefault="004F0E9D" w:rsidP="00715206">
      <w:pPr>
        <w:pStyle w:val="a0"/>
        <w:ind w:firstLine="472"/>
      </w:pPr>
      <w:r w:rsidRPr="001A0E92">
        <w:t>詳細規定請參閱斯洛伐克經濟文化辦事處網站：</w:t>
      </w:r>
      <w:hyperlink r:id="rId55" w:history="1">
        <w:r w:rsidRPr="001A0E92">
          <w:rPr>
            <w:rStyle w:val="ad"/>
            <w:color w:val="auto"/>
            <w:u w:val="none"/>
          </w:rPr>
          <w:t>https://www.mzv.sk/web/taipei-en/services</w:t>
        </w:r>
      </w:hyperlink>
    </w:p>
    <w:p w:rsidR="004F0E9D" w:rsidRPr="001A0E92" w:rsidRDefault="004F0E9D" w:rsidP="00715206">
      <w:pPr>
        <w:pStyle w:val="af3"/>
        <w:spacing w:before="257" w:after="257"/>
        <w:ind w:left="632" w:hanging="632"/>
        <w:rPr>
          <w:color w:val="auto"/>
        </w:rPr>
      </w:pPr>
      <w:r w:rsidRPr="001A0E92">
        <w:rPr>
          <w:color w:val="auto"/>
        </w:rPr>
        <w:t>二、聘用外籍員工</w:t>
      </w:r>
    </w:p>
    <w:p w:rsidR="004F0E9D" w:rsidRPr="001A0E92" w:rsidRDefault="004F0E9D" w:rsidP="00715206">
      <w:pPr>
        <w:pStyle w:val="a0"/>
        <w:ind w:firstLine="472"/>
      </w:pPr>
      <w:r w:rsidRPr="001A0E92">
        <w:t>依據斯國就業服務法（</w:t>
      </w:r>
      <w:r w:rsidRPr="001A0E92">
        <w:t>Act No. 5/2004 Coll. on Employment Services</w:t>
      </w:r>
      <w:r w:rsidRPr="001A0E92">
        <w:t>）之規定，非歐盟會員國之外籍員工來斯工作，須先向工作所在地之斯國勞工局申請工作證（</w:t>
      </w:r>
      <w:r w:rsidRPr="001A0E92">
        <w:t>Working permit</w:t>
      </w:r>
      <w:r w:rsidRPr="001A0E92">
        <w:t>）及向居留地之斯國警察局外事處申請短期居留證。工作證之核發雖無法定要項，惟斯國勞工單位基本上以申請人將從事之職務，斯國失業人士可否勝任為考慮要件。工作證效期最長</w:t>
      </w:r>
      <w:r w:rsidRPr="001A0E92">
        <w:t>2</w:t>
      </w:r>
      <w:r w:rsidRPr="001A0E92">
        <w:t>年，期滿得予延長。</w:t>
      </w:r>
    </w:p>
    <w:p w:rsidR="004F0E9D" w:rsidRPr="001A0E92" w:rsidRDefault="004F0E9D" w:rsidP="00715206">
      <w:pPr>
        <w:pStyle w:val="af3"/>
        <w:spacing w:before="257" w:after="257"/>
        <w:ind w:left="632" w:hanging="632"/>
        <w:rPr>
          <w:color w:val="auto"/>
        </w:rPr>
      </w:pPr>
      <w:r w:rsidRPr="001A0E92">
        <w:rPr>
          <w:color w:val="auto"/>
        </w:rPr>
        <w:t>三、外商子女可就讀之教育機關及經營情形</w:t>
      </w:r>
    </w:p>
    <w:p w:rsidR="004F0E9D" w:rsidRPr="001A0E92" w:rsidRDefault="004F0E9D" w:rsidP="00715206">
      <w:pPr>
        <w:pStyle w:val="a0"/>
        <w:ind w:firstLine="472"/>
      </w:pPr>
      <w:r w:rsidRPr="001A0E92">
        <w:t>斯洛伐克首府</w:t>
      </w:r>
      <w:r w:rsidRPr="001A0E92">
        <w:t>Bratislava</w:t>
      </w:r>
      <w:r w:rsidRPr="001A0E92">
        <w:t>及周邊的主要國際學校詳如下列。一般來說，每年分為</w:t>
      </w:r>
      <w:r w:rsidRPr="001A0E92">
        <w:t>2</w:t>
      </w:r>
      <w:r w:rsidRPr="001A0E92">
        <w:t>學期，上學期從每年</w:t>
      </w:r>
      <w:r w:rsidRPr="001A0E92">
        <w:t>9</w:t>
      </w:r>
      <w:r w:rsidRPr="001A0E92">
        <w:t>月初到</w:t>
      </w:r>
      <w:r w:rsidRPr="001A0E92">
        <w:t>12</w:t>
      </w:r>
      <w:r w:rsidRPr="001A0E92">
        <w:t>月</w:t>
      </w:r>
      <w:r w:rsidRPr="001A0E92">
        <w:t>20</w:t>
      </w:r>
      <w:r w:rsidRPr="001A0E92">
        <w:t>日；下學期則由</w:t>
      </w:r>
      <w:r w:rsidRPr="001A0E92">
        <w:t>1</w:t>
      </w:r>
      <w:r w:rsidRPr="001A0E92">
        <w:t>月</w:t>
      </w:r>
      <w:r w:rsidRPr="001A0E92">
        <w:t>10</w:t>
      </w:r>
      <w:r w:rsidRPr="001A0E92">
        <w:t>日到</w:t>
      </w:r>
      <w:r w:rsidRPr="001A0E92">
        <w:t>6</w:t>
      </w:r>
      <w:r w:rsidRPr="001A0E92">
        <w:t>月下旬止。</w:t>
      </w:r>
    </w:p>
    <w:p w:rsidR="004F0E9D" w:rsidRPr="001A0E92" w:rsidRDefault="004F0E9D" w:rsidP="005F3803">
      <w:pPr>
        <w:pStyle w:val="af8"/>
        <w:ind w:leftChars="200" w:left="826" w:hangingChars="150" w:hanging="354"/>
      </w:pPr>
      <w:r w:rsidRPr="001A0E92">
        <w:t xml:space="preserve">- </w:t>
      </w:r>
      <w:r w:rsidR="005F3803" w:rsidRPr="001A0E92">
        <w:rPr>
          <w:rFonts w:hint="eastAsia"/>
        </w:rPr>
        <w:tab/>
      </w:r>
      <w:r w:rsidRPr="001A0E92">
        <w:t>美國國際學校（</w:t>
      </w:r>
      <w:r w:rsidRPr="001A0E92">
        <w:t>QSI International School of Bratislava</w:t>
      </w:r>
      <w:r w:rsidRPr="001A0E92">
        <w:t>）</w:t>
      </w:r>
      <w:r w:rsidRPr="001A0E92">
        <w:rPr>
          <w:rStyle w:val="a9"/>
        </w:rPr>
        <w:footnoteReference w:id="13"/>
      </w:r>
      <w:r w:rsidRPr="001A0E92">
        <w:t>，提供</w:t>
      </w:r>
      <w:r w:rsidRPr="001A0E92">
        <w:t>IB</w:t>
      </w:r>
      <w:r w:rsidRPr="001A0E92">
        <w:t>及</w:t>
      </w:r>
      <w:r w:rsidRPr="001A0E92">
        <w:t>AP</w:t>
      </w:r>
      <w:r w:rsidRPr="001A0E92">
        <w:t>課程。學生約</w:t>
      </w:r>
      <w:r w:rsidRPr="001A0E92">
        <w:t>250</w:t>
      </w:r>
      <w:r w:rsidRPr="001A0E92">
        <w:t>名，學費每年</w:t>
      </w:r>
      <w:r w:rsidRPr="001A0E92">
        <w:t>10,000-22,000</w:t>
      </w:r>
      <w:r w:rsidRPr="001A0E92">
        <w:t>美金，校車費用內含。</w:t>
      </w:r>
    </w:p>
    <w:p w:rsidR="004F0E9D" w:rsidRPr="001A0E92" w:rsidRDefault="004F0E9D" w:rsidP="005F3803">
      <w:pPr>
        <w:pStyle w:val="af8"/>
        <w:ind w:leftChars="200" w:left="826" w:hangingChars="150" w:hanging="354"/>
      </w:pPr>
      <w:r w:rsidRPr="001A0E92">
        <w:t xml:space="preserve">- </w:t>
      </w:r>
      <w:r w:rsidR="005F3803" w:rsidRPr="001A0E92">
        <w:rPr>
          <w:rFonts w:hint="eastAsia"/>
        </w:rPr>
        <w:tab/>
      </w:r>
      <w:r w:rsidRPr="001A0E92">
        <w:t>英國國際學校（</w:t>
      </w:r>
      <w:r w:rsidRPr="001A0E92">
        <w:t>British International School Bratislava</w:t>
      </w:r>
      <w:r w:rsidRPr="001A0E92">
        <w:t>）</w:t>
      </w:r>
      <w:r w:rsidRPr="001A0E92">
        <w:rPr>
          <w:rStyle w:val="a9"/>
        </w:rPr>
        <w:footnoteReference w:id="14"/>
      </w:r>
      <w:r w:rsidRPr="001A0E92">
        <w:t>，英國</w:t>
      </w:r>
      <w:r w:rsidRPr="001A0E92">
        <w:t>13</w:t>
      </w:r>
      <w:r w:rsidRPr="001A0E92">
        <w:t>年學制，提供</w:t>
      </w:r>
      <w:r w:rsidRPr="001A0E92">
        <w:t>IB</w:t>
      </w:r>
      <w:r w:rsidRPr="001A0E92">
        <w:t>課程。學生約</w:t>
      </w:r>
      <w:r w:rsidRPr="001A0E92">
        <w:t>450</w:t>
      </w:r>
      <w:r w:rsidRPr="001A0E92">
        <w:t>人，每學年學費約為</w:t>
      </w:r>
      <w:r w:rsidRPr="001A0E92">
        <w:t>10,000-22,000</w:t>
      </w:r>
      <w:r w:rsidRPr="001A0E92">
        <w:t>歐元：</w:t>
      </w:r>
      <w:r w:rsidRPr="001A0E92">
        <w:t xml:space="preserve"> </w:t>
      </w:r>
    </w:p>
    <w:p w:rsidR="004F0E9D" w:rsidRPr="001A0E92" w:rsidRDefault="004F0E9D" w:rsidP="005F3803">
      <w:pPr>
        <w:pStyle w:val="af8"/>
        <w:ind w:leftChars="200" w:left="826" w:hangingChars="150" w:hanging="354"/>
      </w:pPr>
      <w:r w:rsidRPr="001A0E92">
        <w:t xml:space="preserve">- </w:t>
      </w:r>
      <w:r w:rsidR="005F3803" w:rsidRPr="001A0E92">
        <w:rPr>
          <w:rFonts w:hint="eastAsia"/>
        </w:rPr>
        <w:tab/>
      </w:r>
      <w:r w:rsidRPr="001A0E92">
        <w:t>麗芙國際學校（</w:t>
      </w:r>
      <w:r w:rsidRPr="001A0E92">
        <w:t>Leaf Academy</w:t>
      </w:r>
      <w:r w:rsidRPr="001A0E92">
        <w:t>）</w:t>
      </w:r>
      <w:r w:rsidRPr="001A0E92">
        <w:rPr>
          <w:rStyle w:val="a9"/>
        </w:rPr>
        <w:footnoteReference w:id="15"/>
      </w:r>
      <w:r w:rsidRPr="001A0E92">
        <w:t>，係寄宿中學，亦提供一般日間上課選項。採</w:t>
      </w:r>
      <w:r w:rsidRPr="001A0E92">
        <w:t>AP</w:t>
      </w:r>
      <w:r w:rsidRPr="001A0E92">
        <w:t>制度。日間上課之每學年學費約</w:t>
      </w:r>
      <w:r w:rsidRPr="001A0E92">
        <w:t>18,000</w:t>
      </w:r>
      <w:r w:rsidRPr="001A0E92">
        <w:t>歐元。</w:t>
      </w:r>
    </w:p>
    <w:p w:rsidR="004F0E9D" w:rsidRPr="001A0E92" w:rsidRDefault="004F0E9D" w:rsidP="005F3803">
      <w:pPr>
        <w:pStyle w:val="af8"/>
        <w:ind w:leftChars="200" w:left="826" w:hangingChars="150" w:hanging="354"/>
      </w:pPr>
      <w:r w:rsidRPr="001A0E92">
        <w:t xml:space="preserve">- </w:t>
      </w:r>
      <w:r w:rsidR="005F3803" w:rsidRPr="001A0E92">
        <w:rPr>
          <w:rFonts w:hint="eastAsia"/>
        </w:rPr>
        <w:tab/>
      </w:r>
      <w:r w:rsidRPr="001A0E92">
        <w:t>佛睿爾國際學校（</w:t>
      </w:r>
      <w:r w:rsidRPr="001A0E92">
        <w:t>Forel International School</w:t>
      </w:r>
      <w:r w:rsidRPr="001A0E92">
        <w:t>）</w:t>
      </w:r>
      <w:r w:rsidRPr="001A0E92">
        <w:rPr>
          <w:rStyle w:val="a9"/>
        </w:rPr>
        <w:footnoteReference w:id="16"/>
      </w:r>
      <w:r w:rsidRPr="001A0E92">
        <w:t>，係英語及斯</w:t>
      </w:r>
      <w:r w:rsidRPr="001A0E92">
        <w:t>/</w:t>
      </w:r>
      <w:r w:rsidRPr="001A0E92">
        <w:t>德</w:t>
      </w:r>
      <w:r w:rsidRPr="001A0E92">
        <w:t>/</w:t>
      </w:r>
      <w:r w:rsidRPr="001A0E92">
        <w:t>法語之雙語學校，學生</w:t>
      </w:r>
      <w:r w:rsidRPr="001A0E92">
        <w:t>150</w:t>
      </w:r>
      <w:r w:rsidRPr="001A0E92">
        <w:t>人，學費在</w:t>
      </w:r>
      <w:r w:rsidRPr="001A0E92">
        <w:t>3,700-8,900</w:t>
      </w:r>
      <w:r w:rsidRPr="001A0E92">
        <w:t>歐元左右）</w:t>
      </w:r>
    </w:p>
    <w:p w:rsidR="001D39E3" w:rsidRPr="001A0E92" w:rsidRDefault="001D39E3"/>
    <w:p w:rsidR="001D39E3" w:rsidRPr="001A0E92" w:rsidRDefault="001D39E3">
      <w:pPr>
        <w:widowControl/>
        <w:pBdr>
          <w:top w:val="none" w:sz="0" w:space="0" w:color="auto"/>
          <w:left w:val="none" w:sz="0" w:space="0" w:color="auto"/>
          <w:bottom w:val="none" w:sz="0" w:space="0" w:color="auto"/>
          <w:right w:val="none" w:sz="0" w:space="0" w:color="auto"/>
        </w:pBdr>
        <w:overflowPunct/>
        <w:autoSpaceDE/>
        <w:autoSpaceDN/>
        <w:jc w:val="left"/>
      </w:pPr>
      <w:r w:rsidRPr="001A0E92">
        <w:br w:type="page"/>
      </w:r>
    </w:p>
    <w:p w:rsidR="0032277D" w:rsidRPr="001A0E92" w:rsidRDefault="0032277D"/>
    <w:p w:rsidR="001D39E3" w:rsidRPr="001A0E92" w:rsidRDefault="001D39E3">
      <w:pPr>
        <w:sectPr w:rsidR="001D39E3" w:rsidRPr="001A0E92" w:rsidSect="00D8781B">
          <w:headerReference w:type="default" r:id="rId56"/>
          <w:footerReference w:type="even" r:id="rId57"/>
          <w:footerReference w:type="default" r:id="rId58"/>
          <w:headerReference w:type="first" r:id="rId59"/>
          <w:footerReference w:type="first" r:id="rId60"/>
          <w:pgSz w:w="11906" w:h="16838"/>
          <w:pgMar w:top="2268" w:right="1701" w:bottom="1701" w:left="1701" w:header="1134" w:footer="851" w:gutter="0"/>
          <w:cols w:space="720"/>
          <w:docGrid w:type="linesAndChars" w:linePitch="514" w:charSpace="-819"/>
        </w:sectPr>
      </w:pPr>
    </w:p>
    <w:p w:rsidR="0032277D" w:rsidRPr="001A0E92" w:rsidRDefault="0032277D" w:rsidP="001D39E3">
      <w:pPr>
        <w:pStyle w:val="af2"/>
        <w:spacing w:before="514" w:after="771"/>
      </w:pPr>
      <w:bookmarkStart w:id="18" w:name="_Toc19484729"/>
      <w:bookmarkStart w:id="19" w:name="_Toc145895378"/>
      <w:r w:rsidRPr="001A0E92">
        <w:t>第玖章  結論</w:t>
      </w:r>
      <w:bookmarkEnd w:id="18"/>
      <w:bookmarkEnd w:id="19"/>
    </w:p>
    <w:p w:rsidR="004F0E9D" w:rsidRPr="001A0E92" w:rsidRDefault="004F0E9D" w:rsidP="005F3803">
      <w:pPr>
        <w:pStyle w:val="a0"/>
        <w:ind w:firstLine="472"/>
      </w:pPr>
      <w:r w:rsidRPr="001A0E92">
        <w:t>斯洛伐克地處中東歐的地理中心，是西歐進入東歐的門戶之一，政治環境雖內閣政府高層人事時有變動，但尚稱穩定。基礎建設擁有發達的鐵路網和高速公路系統，產業環境上，汽車製造及電子有其悠久歷史及產業基礎，加上斯國為</w:t>
      </w:r>
      <w:r w:rsidRPr="001A0E92">
        <w:t>V4</w:t>
      </w:r>
      <w:r w:rsidRPr="001A0E92">
        <w:t>國家唯一的歐元區，也因此成為外商投資設廠的首選地點。</w:t>
      </w:r>
    </w:p>
    <w:p w:rsidR="004F0E9D" w:rsidRPr="001A0E92" w:rsidRDefault="004F0E9D" w:rsidP="005F3803">
      <w:pPr>
        <w:pStyle w:val="a0"/>
        <w:ind w:firstLine="472"/>
      </w:pPr>
      <w:r w:rsidRPr="001A0E92">
        <w:t>斯洛伐克政府努力協助廠商於疫後振興經濟，除汽車、工程、電機工程等三大產業外，亦盼於能源、疫苗及半導體等產業達到戰略自主，該國鼓勵研發並提供外商來斯設立研發中心獎勵，建議我商可來斯考察投資環境，瞭解斯國市場優勢。</w:t>
      </w:r>
    </w:p>
    <w:p w:rsidR="004F0E9D" w:rsidRPr="001A0E92" w:rsidRDefault="004F0E9D" w:rsidP="005F3803">
      <w:pPr>
        <w:pStyle w:val="a0"/>
        <w:ind w:firstLine="472"/>
      </w:pPr>
      <w:r w:rsidRPr="001A0E92">
        <w:t>斯國投資暨貿易發展局（</w:t>
      </w:r>
      <w:r w:rsidRPr="001A0E92">
        <w:t>SARIO</w:t>
      </w:r>
      <w:r w:rsidRPr="001A0E92">
        <w:t>）之分析指出，機械、精密工業、汽車、冶金與金屬加工、電子、化工及製藥產業固為斯國傳統主力產業，亦為目前外人直接投資之對象，惟配合斯國經建目標朝高科技及策略性產業發展之趨勢觀之，從事資訊科技、軟體開發、技術中心、企業流程委外（</w:t>
      </w:r>
      <w:r w:rsidRPr="001A0E92">
        <w:t>BPO</w:t>
      </w:r>
      <w:r w:rsidRPr="001A0E92">
        <w:t>）、及區域營運總部之企業及投身研發、設計及創新活動者，可獲得較高之政府補助。</w:t>
      </w:r>
    </w:p>
    <w:p w:rsidR="004F0E9D" w:rsidRPr="001A0E92" w:rsidRDefault="004F0E9D" w:rsidP="005F3803">
      <w:pPr>
        <w:pStyle w:val="a0"/>
        <w:ind w:firstLine="472"/>
      </w:pPr>
      <w:r w:rsidRPr="001A0E92">
        <w:t>綜上，資訊科技及汽車零配件產業（含車用電子業）應是最適合臺商來斯投資的產業。我商可配合歐盟東擴，將其生產基地、產品及服務由西歐市場向東延伸，亦可考慮同步在中東歐成立研發中心。若能與合作廠商共同進駐，可在斯國及中東歐地區發展成產業聚落（</w:t>
      </w:r>
      <w:r w:rsidRPr="001A0E92">
        <w:t>cluster</w:t>
      </w:r>
      <w:r w:rsidRPr="001A0E92">
        <w:t>）提升競爭力，以有效整合臺商在東歐乃至全歐的供應鏈</w:t>
      </w:r>
      <w:r w:rsidRPr="001A0E92">
        <w:t>/</w:t>
      </w:r>
      <w:r w:rsidRPr="001A0E92">
        <w:t>價值鏈，惟宜事前評估設廠地點之勞工供應是否無虞。</w:t>
      </w:r>
    </w:p>
    <w:p w:rsidR="004F0E9D" w:rsidRPr="001A0E92" w:rsidRDefault="004F0E9D" w:rsidP="005F3803">
      <w:pPr>
        <w:pStyle w:val="a0"/>
        <w:ind w:firstLine="472"/>
      </w:pPr>
      <w:r w:rsidRPr="001A0E92">
        <w:t>但如同其他中東歐國家，斯國改革開放約</w:t>
      </w:r>
      <w:r w:rsidRPr="001A0E92">
        <w:t>30</w:t>
      </w:r>
      <w:r w:rsidRPr="001A0E92">
        <w:t>年，公務行政機構之官僚氣息文化仍在，有外商反映斯國政府採購或核發相關執照之規定及流程透明度有改善空間。法院、政府採購及醫療照護系統偶見貪腐新聞，另缺工為該國長期現象，斯政府審核投資獎勵有時欠缺透明性及可預測性。我商來斯投資須注意因應。</w:t>
      </w:r>
    </w:p>
    <w:p w:rsidR="009E009F" w:rsidRPr="001A0E92" w:rsidRDefault="009E009F" w:rsidP="005F3803">
      <w:pPr>
        <w:pStyle w:val="a0"/>
        <w:ind w:firstLine="472"/>
      </w:pPr>
    </w:p>
    <w:p w:rsidR="009E009F" w:rsidRPr="001A0E92" w:rsidRDefault="009E009F" w:rsidP="005F3803">
      <w:pPr>
        <w:pStyle w:val="a0"/>
        <w:ind w:firstLine="472"/>
      </w:pPr>
    </w:p>
    <w:p w:rsidR="009E009F" w:rsidRPr="001A0E92" w:rsidRDefault="009E009F" w:rsidP="008B7C28">
      <w:pPr>
        <w:ind w:firstLineChars="240" w:firstLine="566"/>
        <w:rPr>
          <w:lang w:val="x-none"/>
        </w:rPr>
      </w:pPr>
    </w:p>
    <w:p w:rsidR="009E009F" w:rsidRPr="001A0E92" w:rsidRDefault="009E009F" w:rsidP="008B7C28">
      <w:pPr>
        <w:ind w:firstLineChars="240" w:firstLine="566"/>
        <w:rPr>
          <w:lang w:val="x-none"/>
        </w:rPr>
        <w:sectPr w:rsidR="009E009F" w:rsidRPr="001A0E92" w:rsidSect="00D8781B">
          <w:headerReference w:type="default" r:id="rId61"/>
          <w:footerReference w:type="even" r:id="rId62"/>
          <w:footerReference w:type="default" r:id="rId63"/>
          <w:headerReference w:type="first" r:id="rId64"/>
          <w:footerReference w:type="first" r:id="rId65"/>
          <w:pgSz w:w="11906" w:h="16838"/>
          <w:pgMar w:top="2268" w:right="1701" w:bottom="1701" w:left="1701" w:header="1134" w:footer="851" w:gutter="0"/>
          <w:cols w:space="720"/>
          <w:docGrid w:type="linesAndChars" w:linePitch="514" w:charSpace="-819"/>
        </w:sectPr>
      </w:pPr>
    </w:p>
    <w:p w:rsidR="0032277D" w:rsidRPr="001A0E92" w:rsidRDefault="0032277D" w:rsidP="009E009F">
      <w:pPr>
        <w:pStyle w:val="af2"/>
        <w:spacing w:before="514" w:after="771"/>
      </w:pPr>
      <w:bookmarkStart w:id="20" w:name="_Toc19484730"/>
      <w:bookmarkStart w:id="21" w:name="_Toc145895379"/>
      <w:r w:rsidRPr="001A0E92">
        <w:t>附錄一　我國在當地駐外單位及臺（華）商團體</w:t>
      </w:r>
      <w:bookmarkEnd w:id="20"/>
      <w:bookmarkEnd w:id="21"/>
    </w:p>
    <w:p w:rsidR="004F0E9D" w:rsidRPr="001A0E92" w:rsidRDefault="004F0E9D" w:rsidP="005F3803">
      <w:pPr>
        <w:pStyle w:val="a0"/>
        <w:ind w:firstLine="472"/>
      </w:pPr>
      <w:r w:rsidRPr="001A0E92">
        <w:t>駐斯洛伐克代表處經濟組</w:t>
      </w:r>
    </w:p>
    <w:p w:rsidR="004F0E9D" w:rsidRPr="001A0E92" w:rsidRDefault="004F0E9D" w:rsidP="005F3803">
      <w:pPr>
        <w:pStyle w:val="a0"/>
        <w:ind w:firstLine="472"/>
      </w:pPr>
      <w:r w:rsidRPr="001A0E92">
        <w:t>Economic Division, Taipei Representative Office, Bratislava</w:t>
      </w:r>
    </w:p>
    <w:p w:rsidR="004F0E9D" w:rsidRPr="001A0E92" w:rsidRDefault="004F0E9D" w:rsidP="005F3803">
      <w:pPr>
        <w:pStyle w:val="a0"/>
        <w:ind w:firstLine="472"/>
      </w:pPr>
      <w:r w:rsidRPr="001A0E92">
        <w:t>Mostová 2, 811 02 Bratislava, Slovak Republic</w:t>
      </w:r>
    </w:p>
    <w:p w:rsidR="004F0E9D" w:rsidRPr="001A0E92" w:rsidRDefault="004F0E9D" w:rsidP="005F3803">
      <w:pPr>
        <w:pStyle w:val="a0"/>
        <w:ind w:firstLine="472"/>
      </w:pPr>
      <w:r w:rsidRPr="001A0E92">
        <w:t>電話：</w:t>
      </w:r>
      <w:r w:rsidRPr="001A0E92">
        <w:t>+421-2-5825-3229</w:t>
      </w:r>
    </w:p>
    <w:p w:rsidR="004F0E9D" w:rsidRPr="001A0E92" w:rsidRDefault="004F0E9D" w:rsidP="005F3803">
      <w:pPr>
        <w:pStyle w:val="a0"/>
        <w:ind w:firstLine="472"/>
      </w:pPr>
      <w:r w:rsidRPr="001A0E92">
        <w:t>電郵：</w:t>
      </w:r>
      <w:hyperlink r:id="rId66" w:history="1">
        <w:r w:rsidRPr="001A0E92">
          <w:rPr>
            <w:rStyle w:val="ad"/>
            <w:color w:val="auto"/>
            <w:u w:val="none"/>
          </w:rPr>
          <w:t>slovakia@sa.moea.gov.tw</w:t>
        </w:r>
      </w:hyperlink>
    </w:p>
    <w:p w:rsidR="004F0E9D" w:rsidRPr="001A0E92" w:rsidRDefault="004F0E9D" w:rsidP="005F3803">
      <w:pPr>
        <w:pStyle w:val="a0"/>
        <w:ind w:firstLine="472"/>
      </w:pPr>
      <w:r w:rsidRPr="001A0E92">
        <w:t>職掌：臺斯兩國經貿推廣及投資促進</w:t>
      </w:r>
    </w:p>
    <w:p w:rsidR="004F0E9D" w:rsidRPr="001A0E92" w:rsidRDefault="004F0E9D" w:rsidP="005F3803">
      <w:pPr>
        <w:pStyle w:val="a0"/>
        <w:ind w:firstLine="472"/>
      </w:pPr>
    </w:p>
    <w:p w:rsidR="004F0E9D" w:rsidRPr="001A0E92" w:rsidRDefault="004F0E9D" w:rsidP="005F3803">
      <w:pPr>
        <w:pStyle w:val="a0"/>
        <w:ind w:firstLine="472"/>
      </w:pPr>
      <w:r w:rsidRPr="001A0E92">
        <w:t>斯洛伐克臺灣同鄉聯誼會</w:t>
      </w:r>
    </w:p>
    <w:p w:rsidR="004F0E9D" w:rsidRPr="001A0E92" w:rsidRDefault="004F0E9D" w:rsidP="005F3803">
      <w:pPr>
        <w:pStyle w:val="a0"/>
        <w:ind w:firstLine="472"/>
      </w:pPr>
      <w:r w:rsidRPr="001A0E92">
        <w:t>Taiwanské Združenie na Slovensku</w:t>
      </w:r>
    </w:p>
    <w:p w:rsidR="004F0E9D" w:rsidRPr="001A0E92" w:rsidRDefault="004F0E9D" w:rsidP="005F3803">
      <w:pPr>
        <w:pStyle w:val="a0"/>
        <w:ind w:firstLine="472"/>
      </w:pPr>
      <w:r w:rsidRPr="001A0E92">
        <w:t>執掌：臺灣僑民在斯國互助聯誼</w:t>
      </w:r>
    </w:p>
    <w:p w:rsidR="0032277D" w:rsidRPr="001A0E92" w:rsidRDefault="0032277D" w:rsidP="005F3803">
      <w:pPr>
        <w:pStyle w:val="a0"/>
        <w:ind w:firstLine="472"/>
      </w:pPr>
    </w:p>
    <w:p w:rsidR="0032277D" w:rsidRPr="001A0E92" w:rsidRDefault="0032277D" w:rsidP="005F3803">
      <w:pPr>
        <w:pStyle w:val="a0"/>
        <w:ind w:firstLine="472"/>
      </w:pPr>
      <w:bookmarkStart w:id="22" w:name="_Toc517633022"/>
      <w:bookmarkEnd w:id="22"/>
    </w:p>
    <w:p w:rsidR="0032277D" w:rsidRPr="001A0E92" w:rsidRDefault="00B65EA8" w:rsidP="009E009F">
      <w:pPr>
        <w:pStyle w:val="af2"/>
        <w:spacing w:before="514" w:after="771"/>
      </w:pPr>
      <w:bookmarkStart w:id="23" w:name="_Toc19484731"/>
      <w:r w:rsidRPr="001A0E92">
        <w:rPr>
          <w:lang w:eastAsia="zh-TW"/>
        </w:rPr>
        <w:br w:type="page"/>
      </w:r>
      <w:bookmarkStart w:id="24" w:name="_Toc145895380"/>
      <w:r w:rsidR="0032277D" w:rsidRPr="001A0E92">
        <w:t>附錄二　當地重要投資相關機構</w:t>
      </w:r>
      <w:bookmarkEnd w:id="23"/>
      <w:bookmarkEnd w:id="24"/>
    </w:p>
    <w:p w:rsidR="004F0E9D" w:rsidRPr="001A0E92" w:rsidRDefault="004F0E9D" w:rsidP="005F3803">
      <w:pPr>
        <w:pStyle w:val="a0"/>
        <w:ind w:firstLine="472"/>
      </w:pPr>
      <w:bookmarkStart w:id="25" w:name="_Toc517633023"/>
      <w:bookmarkEnd w:id="25"/>
      <w:r w:rsidRPr="001A0E92">
        <w:t>斯洛伐克投資暨貿易發展局</w:t>
      </w:r>
    </w:p>
    <w:p w:rsidR="004F0E9D" w:rsidRPr="001A0E92" w:rsidRDefault="004F0E9D" w:rsidP="005F3803">
      <w:pPr>
        <w:pStyle w:val="a0"/>
        <w:ind w:firstLine="472"/>
      </w:pPr>
      <w:r w:rsidRPr="001A0E92">
        <w:t>Slovak Investment and Trade Development Agency</w:t>
      </w:r>
      <w:r w:rsidRPr="001A0E92">
        <w:t>（</w:t>
      </w:r>
      <w:r w:rsidRPr="001A0E92">
        <w:t>SARIO</w:t>
      </w:r>
      <w:r w:rsidRPr="001A0E92">
        <w:t>）</w:t>
      </w:r>
    </w:p>
    <w:p w:rsidR="004F0E9D" w:rsidRPr="001A0E92" w:rsidRDefault="004F0E9D" w:rsidP="005F3803">
      <w:pPr>
        <w:pStyle w:val="a0"/>
        <w:ind w:firstLine="472"/>
      </w:pPr>
      <w:r w:rsidRPr="001A0E92">
        <w:t>Mlynsky Nivy 44/a, 821 01 Bratislava</w:t>
      </w:r>
    </w:p>
    <w:p w:rsidR="004F0E9D" w:rsidRPr="001A0E92" w:rsidRDefault="004F0E9D" w:rsidP="005F3803">
      <w:pPr>
        <w:pStyle w:val="a0"/>
        <w:ind w:firstLine="472"/>
      </w:pPr>
      <w:r w:rsidRPr="001A0E92">
        <w:t>電話：</w:t>
      </w:r>
      <w:r w:rsidRPr="001A0E92">
        <w:t>+421-2-5826-0100</w:t>
      </w:r>
    </w:p>
    <w:p w:rsidR="004F0E9D" w:rsidRPr="001A0E92" w:rsidRDefault="004F0E9D" w:rsidP="005F3803">
      <w:pPr>
        <w:pStyle w:val="a0"/>
        <w:ind w:firstLine="472"/>
      </w:pPr>
      <w:r w:rsidRPr="001A0E92">
        <w:t>電郵：</w:t>
      </w:r>
      <w:r w:rsidRPr="001A0E92">
        <w:t>sario@sario.sk; invest@sario.sk; trade@sario.sk</w:t>
      </w:r>
    </w:p>
    <w:p w:rsidR="004F0E9D" w:rsidRPr="001A0E92" w:rsidRDefault="004F0E9D" w:rsidP="005F3803">
      <w:pPr>
        <w:pStyle w:val="a0"/>
        <w:ind w:firstLine="472"/>
      </w:pPr>
      <w:r w:rsidRPr="001A0E92">
        <w:t>職掌：提供外人來斯投資諮詢及貿易拓銷</w:t>
      </w:r>
    </w:p>
    <w:p w:rsidR="0032277D" w:rsidRPr="001A0E92" w:rsidRDefault="0032277D" w:rsidP="005F3803">
      <w:pPr>
        <w:pStyle w:val="a0"/>
        <w:ind w:firstLine="472"/>
      </w:pPr>
    </w:p>
    <w:p w:rsidR="0032277D" w:rsidRPr="001A0E92" w:rsidRDefault="00B65EA8" w:rsidP="009E009F">
      <w:pPr>
        <w:pStyle w:val="af2"/>
        <w:spacing w:before="514" w:after="771"/>
      </w:pPr>
      <w:bookmarkStart w:id="26" w:name="_Toc19484732"/>
      <w:r w:rsidRPr="001A0E92">
        <w:rPr>
          <w:lang w:eastAsia="zh-TW"/>
        </w:rPr>
        <w:br w:type="page"/>
      </w:r>
      <w:bookmarkStart w:id="27" w:name="_Toc145895381"/>
      <w:r w:rsidR="0032277D" w:rsidRPr="001A0E92">
        <w:t>附錄三　當地外人投資統計</w:t>
      </w:r>
      <w:bookmarkEnd w:id="26"/>
      <w:bookmarkEnd w:id="27"/>
    </w:p>
    <w:p w:rsidR="004F0E9D" w:rsidRPr="001A0E92" w:rsidRDefault="004F0E9D" w:rsidP="005F3803">
      <w:pPr>
        <w:pStyle w:val="a0"/>
        <w:ind w:firstLine="472"/>
      </w:pPr>
      <w:bookmarkStart w:id="28" w:name="_Toc517633024"/>
      <w:bookmarkEnd w:id="28"/>
      <w:r w:rsidRPr="001A0E92">
        <w:t>斯國投資暨貿易發展局</w:t>
      </w:r>
      <w:r w:rsidRPr="001A0E92">
        <w:t>SARIO</w:t>
      </w:r>
      <w:r w:rsidRPr="001A0E92">
        <w:t>公告外人投資統計資料如下：</w:t>
      </w:r>
    </w:p>
    <w:tbl>
      <w:tblPr>
        <w:tblW w:w="8658" w:type="dxa"/>
        <w:tblInd w:w="69" w:type="dxa"/>
        <w:tblLayout w:type="fixed"/>
        <w:tblCellMar>
          <w:left w:w="10" w:type="dxa"/>
          <w:right w:w="10" w:type="dxa"/>
        </w:tblCellMar>
        <w:tblLook w:val="04A0" w:firstRow="1" w:lastRow="0" w:firstColumn="1" w:lastColumn="0" w:noHBand="0" w:noVBand="1"/>
      </w:tblPr>
      <w:tblGrid>
        <w:gridCol w:w="1357"/>
        <w:gridCol w:w="1523"/>
        <w:gridCol w:w="2520"/>
        <w:gridCol w:w="2161"/>
        <w:gridCol w:w="1097"/>
      </w:tblGrid>
      <w:tr w:rsidR="001A0E92" w:rsidRPr="001A0E92" w:rsidTr="004F0E9D">
        <w:trPr>
          <w:trHeight w:val="567"/>
        </w:trPr>
        <w:tc>
          <w:tcPr>
            <w:tcW w:w="1357" w:type="dxa"/>
            <w:tcBorders>
              <w:top w:val="single" w:sz="12" w:space="0" w:color="00000A"/>
              <w:left w:val="single" w:sz="12"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年度</w:t>
            </w:r>
          </w:p>
        </w:tc>
        <w:tc>
          <w:tcPr>
            <w:tcW w:w="1523" w:type="dxa"/>
            <w:tcBorders>
              <w:top w:val="single" w:sz="12"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投資件數</w:t>
            </w:r>
          </w:p>
        </w:tc>
        <w:tc>
          <w:tcPr>
            <w:tcW w:w="2520" w:type="dxa"/>
            <w:tcBorders>
              <w:top w:val="single" w:sz="12"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投資金額</w:t>
            </w:r>
          </w:p>
        </w:tc>
        <w:tc>
          <w:tcPr>
            <w:tcW w:w="2161" w:type="dxa"/>
            <w:tcBorders>
              <w:top w:val="single" w:sz="12"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增加就業機會</w:t>
            </w:r>
          </w:p>
        </w:tc>
        <w:tc>
          <w:tcPr>
            <w:tcW w:w="1097" w:type="dxa"/>
            <w:tcBorders>
              <w:top w:val="single" w:sz="12" w:space="0" w:color="00000A"/>
              <w:left w:val="single" w:sz="6" w:space="0" w:color="00000A"/>
              <w:bottom w:val="single" w:sz="6" w:space="0" w:color="00000A"/>
              <w:right w:val="single" w:sz="12"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備註</w:t>
            </w:r>
          </w:p>
        </w:tc>
      </w:tr>
      <w:tr w:rsidR="001A0E92" w:rsidRPr="001A0E92" w:rsidTr="004F0E9D">
        <w:trPr>
          <w:trHeight w:val="567"/>
        </w:trPr>
        <w:tc>
          <w:tcPr>
            <w:tcW w:w="1357" w:type="dxa"/>
            <w:tcBorders>
              <w:top w:val="single" w:sz="6" w:space="0" w:color="00000A"/>
              <w:left w:val="single" w:sz="12"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2017</w:t>
            </w:r>
          </w:p>
        </w:tc>
        <w:tc>
          <w:tcPr>
            <w:tcW w:w="1523"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33</w:t>
            </w: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4</w:t>
            </w:r>
            <w:r w:rsidRPr="001A0E92">
              <w:t>億</w:t>
            </w:r>
            <w:r w:rsidRPr="001A0E92">
              <w:t>9,000</w:t>
            </w:r>
            <w:r w:rsidRPr="001A0E92">
              <w:t>萬歐元</w:t>
            </w:r>
          </w:p>
        </w:tc>
        <w:tc>
          <w:tcPr>
            <w:tcW w:w="2161"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900</w:t>
            </w:r>
          </w:p>
        </w:tc>
        <w:tc>
          <w:tcPr>
            <w:tcW w:w="1097" w:type="dxa"/>
            <w:tcBorders>
              <w:top w:val="single" w:sz="6" w:space="0" w:color="00000A"/>
              <w:left w:val="single" w:sz="6" w:space="0" w:color="00000A"/>
              <w:bottom w:val="single" w:sz="6" w:space="0" w:color="00000A"/>
              <w:right w:val="single" w:sz="12"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p>
        </w:tc>
      </w:tr>
      <w:tr w:rsidR="001A0E92" w:rsidRPr="001A0E92" w:rsidTr="004F0E9D">
        <w:trPr>
          <w:trHeight w:val="567"/>
        </w:trPr>
        <w:tc>
          <w:tcPr>
            <w:tcW w:w="1357" w:type="dxa"/>
            <w:tcBorders>
              <w:top w:val="single" w:sz="6" w:space="0" w:color="00000A"/>
              <w:left w:val="single" w:sz="12"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2018</w:t>
            </w:r>
          </w:p>
        </w:tc>
        <w:tc>
          <w:tcPr>
            <w:tcW w:w="1523"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26</w:t>
            </w: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3</w:t>
            </w:r>
            <w:r w:rsidRPr="001A0E92">
              <w:t>億</w:t>
            </w:r>
            <w:r w:rsidRPr="001A0E92">
              <w:t>1,900</w:t>
            </w:r>
            <w:r w:rsidRPr="001A0E92">
              <w:t>萬歐元</w:t>
            </w:r>
          </w:p>
        </w:tc>
        <w:tc>
          <w:tcPr>
            <w:tcW w:w="2161"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4,180</w:t>
            </w:r>
          </w:p>
        </w:tc>
        <w:tc>
          <w:tcPr>
            <w:tcW w:w="1097" w:type="dxa"/>
            <w:tcBorders>
              <w:top w:val="single" w:sz="6" w:space="0" w:color="00000A"/>
              <w:left w:val="single" w:sz="6" w:space="0" w:color="00000A"/>
              <w:bottom w:val="single" w:sz="6" w:space="0" w:color="00000A"/>
              <w:right w:val="single" w:sz="12"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p>
        </w:tc>
      </w:tr>
      <w:tr w:rsidR="001A0E92" w:rsidRPr="001A0E92" w:rsidTr="004F0E9D">
        <w:trPr>
          <w:trHeight w:val="567"/>
        </w:trPr>
        <w:tc>
          <w:tcPr>
            <w:tcW w:w="1357" w:type="dxa"/>
            <w:tcBorders>
              <w:top w:val="single" w:sz="6" w:space="0" w:color="00000A"/>
              <w:left w:val="single" w:sz="12"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2019</w:t>
            </w:r>
          </w:p>
        </w:tc>
        <w:tc>
          <w:tcPr>
            <w:tcW w:w="1523"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39</w:t>
            </w: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w:t>
            </w:r>
            <w:r w:rsidRPr="001A0E92">
              <w:t>億</w:t>
            </w:r>
            <w:r w:rsidRPr="001A0E92">
              <w:t>8,600</w:t>
            </w:r>
            <w:r w:rsidRPr="001A0E92">
              <w:t>萬歐元</w:t>
            </w:r>
          </w:p>
        </w:tc>
        <w:tc>
          <w:tcPr>
            <w:tcW w:w="2161"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4,006</w:t>
            </w:r>
          </w:p>
        </w:tc>
        <w:tc>
          <w:tcPr>
            <w:tcW w:w="1097" w:type="dxa"/>
            <w:tcBorders>
              <w:top w:val="single" w:sz="6" w:space="0" w:color="00000A"/>
              <w:left w:val="single" w:sz="6" w:space="0" w:color="00000A"/>
              <w:bottom w:val="single" w:sz="6" w:space="0" w:color="00000A"/>
              <w:right w:val="single" w:sz="12"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p>
        </w:tc>
      </w:tr>
      <w:tr w:rsidR="001A0E92" w:rsidRPr="001A0E92" w:rsidTr="004F0E9D">
        <w:trPr>
          <w:trHeight w:val="567"/>
        </w:trPr>
        <w:tc>
          <w:tcPr>
            <w:tcW w:w="1357" w:type="dxa"/>
            <w:tcBorders>
              <w:top w:val="single" w:sz="6" w:space="0" w:color="00000A"/>
              <w:left w:val="single" w:sz="12"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2020</w:t>
            </w:r>
          </w:p>
        </w:tc>
        <w:tc>
          <w:tcPr>
            <w:tcW w:w="1523"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15</w:t>
            </w: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6</w:t>
            </w:r>
            <w:r w:rsidRPr="001A0E92">
              <w:t>億</w:t>
            </w:r>
            <w:r w:rsidRPr="001A0E92">
              <w:t>9,700</w:t>
            </w:r>
            <w:r w:rsidRPr="001A0E92">
              <w:t>萬歐元</w:t>
            </w:r>
          </w:p>
        </w:tc>
        <w:tc>
          <w:tcPr>
            <w:tcW w:w="2161"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2,893</w:t>
            </w:r>
          </w:p>
        </w:tc>
        <w:tc>
          <w:tcPr>
            <w:tcW w:w="1097" w:type="dxa"/>
            <w:tcBorders>
              <w:top w:val="single" w:sz="6" w:space="0" w:color="00000A"/>
              <w:left w:val="single" w:sz="6" w:space="0" w:color="00000A"/>
              <w:bottom w:val="single" w:sz="6" w:space="0" w:color="00000A"/>
              <w:right w:val="single" w:sz="12"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p>
        </w:tc>
      </w:tr>
      <w:tr w:rsidR="001A0E92" w:rsidRPr="001A0E92" w:rsidTr="004F0E9D">
        <w:trPr>
          <w:trHeight w:val="567"/>
        </w:trPr>
        <w:tc>
          <w:tcPr>
            <w:tcW w:w="1357" w:type="dxa"/>
            <w:tcBorders>
              <w:top w:val="single" w:sz="6" w:space="0" w:color="00000A"/>
              <w:left w:val="single" w:sz="12"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2021</w:t>
            </w:r>
          </w:p>
        </w:tc>
        <w:tc>
          <w:tcPr>
            <w:tcW w:w="1523"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29</w:t>
            </w:r>
          </w:p>
        </w:tc>
        <w:tc>
          <w:tcPr>
            <w:tcW w:w="2520"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4</w:t>
            </w:r>
            <w:r w:rsidRPr="001A0E92">
              <w:t>億</w:t>
            </w:r>
            <w:r w:rsidRPr="001A0E92">
              <w:t>6,400</w:t>
            </w:r>
            <w:r w:rsidRPr="001A0E92">
              <w:t>萬歐元</w:t>
            </w:r>
          </w:p>
        </w:tc>
        <w:tc>
          <w:tcPr>
            <w:tcW w:w="2161" w:type="dxa"/>
            <w:tcBorders>
              <w:top w:val="single" w:sz="6" w:space="0" w:color="00000A"/>
              <w:left w:val="single" w:sz="6" w:space="0" w:color="00000A"/>
              <w:bottom w:val="single" w:sz="6"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3,250</w:t>
            </w:r>
          </w:p>
        </w:tc>
        <w:tc>
          <w:tcPr>
            <w:tcW w:w="1097" w:type="dxa"/>
            <w:tcBorders>
              <w:top w:val="single" w:sz="6" w:space="0" w:color="00000A"/>
              <w:left w:val="single" w:sz="6" w:space="0" w:color="00000A"/>
              <w:bottom w:val="single" w:sz="6" w:space="0" w:color="00000A"/>
              <w:right w:val="single" w:sz="12"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p>
        </w:tc>
      </w:tr>
      <w:tr w:rsidR="004F0E9D" w:rsidRPr="001A0E92" w:rsidTr="004F0E9D">
        <w:trPr>
          <w:trHeight w:val="567"/>
        </w:trPr>
        <w:tc>
          <w:tcPr>
            <w:tcW w:w="1357" w:type="dxa"/>
            <w:tcBorders>
              <w:top w:val="single" w:sz="6" w:space="0" w:color="00000A"/>
              <w:left w:val="single" w:sz="12" w:space="0" w:color="00000A"/>
              <w:bottom w:val="single" w:sz="12"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2022</w:t>
            </w:r>
          </w:p>
        </w:tc>
        <w:tc>
          <w:tcPr>
            <w:tcW w:w="1523" w:type="dxa"/>
            <w:tcBorders>
              <w:top w:val="single" w:sz="6" w:space="0" w:color="00000A"/>
              <w:left w:val="single" w:sz="6" w:space="0" w:color="00000A"/>
              <w:bottom w:val="single" w:sz="12"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31</w:t>
            </w:r>
          </w:p>
        </w:tc>
        <w:tc>
          <w:tcPr>
            <w:tcW w:w="2520" w:type="dxa"/>
            <w:tcBorders>
              <w:top w:val="single" w:sz="6" w:space="0" w:color="00000A"/>
              <w:left w:val="single" w:sz="6" w:space="0" w:color="00000A"/>
              <w:bottom w:val="single" w:sz="12"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19</w:t>
            </w:r>
            <w:r w:rsidRPr="001A0E92">
              <w:t>億歐元</w:t>
            </w:r>
          </w:p>
        </w:tc>
        <w:tc>
          <w:tcPr>
            <w:tcW w:w="2161" w:type="dxa"/>
            <w:tcBorders>
              <w:top w:val="single" w:sz="6" w:space="0" w:color="00000A"/>
              <w:left w:val="single" w:sz="6" w:space="0" w:color="00000A"/>
              <w:bottom w:val="single" w:sz="12" w:space="0" w:color="00000A"/>
              <w:right w:val="single" w:sz="6"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r w:rsidRPr="001A0E92">
              <w:t>7,540</w:t>
            </w:r>
          </w:p>
        </w:tc>
        <w:tc>
          <w:tcPr>
            <w:tcW w:w="1097" w:type="dxa"/>
            <w:tcBorders>
              <w:top w:val="single" w:sz="6" w:space="0" w:color="00000A"/>
              <w:left w:val="single" w:sz="6" w:space="0" w:color="00000A"/>
              <w:bottom w:val="single" w:sz="12" w:space="0" w:color="00000A"/>
              <w:right w:val="single" w:sz="12" w:space="0" w:color="00000A"/>
            </w:tcBorders>
            <w:shd w:val="clear" w:color="auto" w:fill="auto"/>
            <w:tcMar>
              <w:top w:w="0" w:type="dxa"/>
              <w:left w:w="98" w:type="dxa"/>
              <w:bottom w:w="0" w:type="dxa"/>
              <w:right w:w="108" w:type="dxa"/>
            </w:tcMar>
            <w:vAlign w:val="center"/>
          </w:tcPr>
          <w:p w:rsidR="004F0E9D" w:rsidRPr="001A0E92" w:rsidRDefault="004F0E9D" w:rsidP="005F3803">
            <w:pPr>
              <w:pStyle w:val="aff"/>
            </w:pPr>
          </w:p>
        </w:tc>
      </w:tr>
    </w:tbl>
    <w:p w:rsidR="0032277D" w:rsidRPr="001A0E92" w:rsidRDefault="0032277D" w:rsidP="006F3E9A">
      <w:pPr>
        <w:pStyle w:val="a0"/>
        <w:ind w:left="472" w:firstLine="472"/>
      </w:pPr>
    </w:p>
    <w:p w:rsidR="0032277D" w:rsidRPr="001A0E92" w:rsidRDefault="00B65EA8" w:rsidP="009E009F">
      <w:pPr>
        <w:pStyle w:val="af2"/>
        <w:spacing w:before="514" w:after="771"/>
      </w:pPr>
      <w:bookmarkStart w:id="29" w:name="_Toc19484733"/>
      <w:r w:rsidRPr="001A0E92">
        <w:rPr>
          <w:lang w:eastAsia="zh-TW"/>
        </w:rPr>
        <w:br w:type="page"/>
      </w:r>
      <w:bookmarkStart w:id="30" w:name="_Toc145895382"/>
      <w:r w:rsidR="0032277D" w:rsidRPr="001A0E92">
        <w:t>附錄四　我國廠商對當地國投資統計</w:t>
      </w:r>
      <w:bookmarkEnd w:id="29"/>
      <w:bookmarkEnd w:id="30"/>
    </w:p>
    <w:p w:rsidR="00D73808" w:rsidRPr="001A0E92" w:rsidRDefault="00D73808" w:rsidP="00D73808">
      <w:pPr>
        <w:pStyle w:val="af8"/>
        <w:ind w:left="944" w:hanging="708"/>
      </w:pPr>
      <w:bookmarkStart w:id="31" w:name="_Toc517633025"/>
      <w:bookmarkEnd w:id="31"/>
      <w:r w:rsidRPr="001A0E92">
        <w:t>（一）經濟部</w:t>
      </w:r>
      <w:r w:rsidR="004F0E9D" w:rsidRPr="001A0E92">
        <w:t>投資審議司</w:t>
      </w:r>
      <w:r w:rsidRPr="001A0E92">
        <w:t>統計：</w:t>
      </w:r>
    </w:p>
    <w:p w:rsidR="00D73808" w:rsidRPr="001A0E92" w:rsidRDefault="00D73808" w:rsidP="002332C5">
      <w:pPr>
        <w:pStyle w:val="aff1"/>
        <w:spacing w:before="240"/>
      </w:pPr>
      <w:r w:rsidRPr="001A0E92">
        <w:t>年度別統計表</w:t>
      </w:r>
    </w:p>
    <w:tbl>
      <w:tblPr>
        <w:tblW w:w="5000" w:type="pct"/>
        <w:jc w:val="center"/>
        <w:tblLayout w:type="fixed"/>
        <w:tblCellMar>
          <w:left w:w="10" w:type="dxa"/>
          <w:right w:w="10" w:type="dxa"/>
        </w:tblCellMar>
        <w:tblLook w:val="04A0" w:firstRow="1" w:lastRow="0" w:firstColumn="1" w:lastColumn="0" w:noHBand="0" w:noVBand="1"/>
      </w:tblPr>
      <w:tblGrid>
        <w:gridCol w:w="2515"/>
        <w:gridCol w:w="2327"/>
        <w:gridCol w:w="3722"/>
      </w:tblGrid>
      <w:tr w:rsidR="001A0E92" w:rsidRPr="001A0E92" w:rsidTr="00AA398B">
        <w:trPr>
          <w:trHeight w:val="510"/>
          <w:jc w:val="center"/>
        </w:trPr>
        <w:tc>
          <w:tcPr>
            <w:tcW w:w="2515" w:type="dxa"/>
            <w:tcBorders>
              <w:top w:val="double" w:sz="4"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年度</w:t>
            </w:r>
          </w:p>
        </w:tc>
        <w:tc>
          <w:tcPr>
            <w:tcW w:w="2327" w:type="dxa"/>
            <w:tcBorders>
              <w:top w:val="double" w:sz="4"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件數</w:t>
            </w:r>
          </w:p>
        </w:tc>
        <w:tc>
          <w:tcPr>
            <w:tcW w:w="3722" w:type="dxa"/>
            <w:tcBorders>
              <w:top w:val="double" w:sz="4"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金額（千美元）</w:t>
            </w:r>
          </w:p>
        </w:tc>
      </w:tr>
      <w:tr w:rsidR="001A0E92" w:rsidRPr="001A0E92" w:rsidTr="00AA398B">
        <w:trPr>
          <w:trHeight w:val="510"/>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2017</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4C1279">
            <w:pPr>
              <w:pStyle w:val="aff"/>
            </w:pPr>
            <w:r w:rsidRPr="001A0E92">
              <w:t>1</w:t>
            </w:r>
            <w:r w:rsidR="00821E9E" w:rsidRPr="001A0E92">
              <w:t>（</w:t>
            </w:r>
            <w:r w:rsidRPr="001A0E92">
              <w:t>製造業</w:t>
            </w:r>
            <w:r w:rsidR="00821E9E" w:rsidRPr="001A0E92">
              <w:t>）</w:t>
            </w:r>
          </w:p>
        </w:tc>
        <w:tc>
          <w:tcPr>
            <w:tcW w:w="3722"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tabs>
                <w:tab w:val="decimal" w:pos="2183"/>
              </w:tabs>
              <w:jc w:val="left"/>
            </w:pPr>
            <w:r w:rsidRPr="001A0E92">
              <w:t xml:space="preserve">4,216 </w:t>
            </w:r>
          </w:p>
        </w:tc>
      </w:tr>
      <w:tr w:rsidR="001A0E92" w:rsidRPr="001A0E92" w:rsidTr="00AA398B">
        <w:trPr>
          <w:trHeight w:val="510"/>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2018</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 xml:space="preserve">0 </w:t>
            </w:r>
          </w:p>
        </w:tc>
        <w:tc>
          <w:tcPr>
            <w:tcW w:w="3722"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tabs>
                <w:tab w:val="decimal" w:pos="2183"/>
              </w:tabs>
              <w:jc w:val="left"/>
            </w:pPr>
            <w:r w:rsidRPr="001A0E92">
              <w:t xml:space="preserve">0 </w:t>
            </w:r>
          </w:p>
        </w:tc>
      </w:tr>
      <w:tr w:rsidR="001A0E92" w:rsidRPr="001A0E92" w:rsidTr="00AA398B">
        <w:trPr>
          <w:trHeight w:val="510"/>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2019</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 xml:space="preserve">0 </w:t>
            </w:r>
          </w:p>
        </w:tc>
        <w:tc>
          <w:tcPr>
            <w:tcW w:w="3722"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tabs>
                <w:tab w:val="decimal" w:pos="2183"/>
              </w:tabs>
              <w:jc w:val="left"/>
            </w:pPr>
            <w:r w:rsidRPr="001A0E92">
              <w:t xml:space="preserve">0 </w:t>
            </w:r>
          </w:p>
        </w:tc>
      </w:tr>
      <w:tr w:rsidR="001A0E92" w:rsidRPr="001A0E92" w:rsidTr="00AA398B">
        <w:trPr>
          <w:trHeight w:val="510"/>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2020</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0</w:t>
            </w:r>
          </w:p>
        </w:tc>
        <w:tc>
          <w:tcPr>
            <w:tcW w:w="3722"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tabs>
                <w:tab w:val="decimal" w:pos="2183"/>
              </w:tabs>
              <w:jc w:val="left"/>
            </w:pPr>
            <w:r w:rsidRPr="001A0E92">
              <w:t>0</w:t>
            </w:r>
          </w:p>
        </w:tc>
      </w:tr>
      <w:tr w:rsidR="001A0E92" w:rsidRPr="001A0E92" w:rsidTr="00AA398B">
        <w:trPr>
          <w:trHeight w:val="510"/>
          <w:jc w:val="center"/>
        </w:trPr>
        <w:tc>
          <w:tcPr>
            <w:tcW w:w="2515" w:type="dxa"/>
            <w:tcBorders>
              <w:top w:val="single" w:sz="6" w:space="0" w:color="000000"/>
              <w:left w:val="double" w:sz="4"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2021</w:t>
            </w:r>
          </w:p>
        </w:tc>
        <w:tc>
          <w:tcPr>
            <w:tcW w:w="2327" w:type="dxa"/>
            <w:tcBorders>
              <w:top w:val="single" w:sz="6" w:space="0" w:color="000000"/>
              <w:left w:val="single" w:sz="6" w:space="0" w:color="000000"/>
              <w:bottom w:val="single" w:sz="6" w:space="0" w:color="000000"/>
              <w:right w:val="single" w:sz="6"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pPr>
            <w:r w:rsidRPr="001A0E92">
              <w:t>0</w:t>
            </w:r>
          </w:p>
        </w:tc>
        <w:tc>
          <w:tcPr>
            <w:tcW w:w="3722" w:type="dxa"/>
            <w:tcBorders>
              <w:top w:val="single" w:sz="6" w:space="0" w:color="000000"/>
              <w:left w:val="single" w:sz="6" w:space="0" w:color="000000"/>
              <w:bottom w:val="single" w:sz="6" w:space="0" w:color="000000"/>
              <w:right w:val="double" w:sz="4" w:space="0" w:color="000000"/>
            </w:tcBorders>
            <w:shd w:val="clear" w:color="auto" w:fill="auto"/>
            <w:tcMar>
              <w:top w:w="0" w:type="dxa"/>
              <w:left w:w="30" w:type="dxa"/>
              <w:bottom w:w="0" w:type="dxa"/>
              <w:right w:w="30" w:type="dxa"/>
            </w:tcMar>
            <w:vAlign w:val="center"/>
          </w:tcPr>
          <w:p w:rsidR="00D73808" w:rsidRPr="001A0E92" w:rsidRDefault="00D73808" w:rsidP="00AA398B">
            <w:pPr>
              <w:pStyle w:val="aff"/>
              <w:tabs>
                <w:tab w:val="decimal" w:pos="2183"/>
              </w:tabs>
              <w:jc w:val="left"/>
            </w:pPr>
            <w:r w:rsidRPr="001A0E92">
              <w:t>0</w:t>
            </w:r>
          </w:p>
        </w:tc>
      </w:tr>
      <w:tr w:rsidR="001A0E92" w:rsidRPr="001A0E92" w:rsidTr="00AA398B">
        <w:trPr>
          <w:trHeight w:val="510"/>
          <w:jc w:val="center"/>
        </w:trPr>
        <w:tc>
          <w:tcPr>
            <w:tcW w:w="2515" w:type="dxa"/>
            <w:tcBorders>
              <w:top w:val="single" w:sz="6" w:space="0" w:color="000000"/>
              <w:left w:val="double" w:sz="4"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4F0E9D" w:rsidRPr="001A0E92" w:rsidRDefault="004F0E9D" w:rsidP="00AA398B">
            <w:pPr>
              <w:pStyle w:val="aff"/>
            </w:pPr>
            <w:r w:rsidRPr="001A0E92">
              <w:rPr>
                <w:rFonts w:hint="eastAsia"/>
              </w:rPr>
              <w:t>2022</w:t>
            </w:r>
          </w:p>
        </w:tc>
        <w:tc>
          <w:tcPr>
            <w:tcW w:w="2327" w:type="dxa"/>
            <w:tcBorders>
              <w:top w:val="single" w:sz="6" w:space="0" w:color="000000"/>
              <w:left w:val="single" w:sz="6"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4F0E9D" w:rsidRPr="001A0E92" w:rsidRDefault="00993C4C" w:rsidP="00AA398B">
            <w:pPr>
              <w:pStyle w:val="aff"/>
            </w:pPr>
            <w:r w:rsidRPr="001A0E92">
              <w:rPr>
                <w:rFonts w:hint="eastAsia"/>
              </w:rPr>
              <w:t>1</w:t>
            </w:r>
          </w:p>
        </w:tc>
        <w:tc>
          <w:tcPr>
            <w:tcW w:w="3722" w:type="dxa"/>
            <w:tcBorders>
              <w:top w:val="single" w:sz="6" w:space="0" w:color="000000"/>
              <w:left w:val="single" w:sz="6" w:space="0" w:color="000000"/>
              <w:bottom w:val="double" w:sz="4" w:space="0" w:color="000000"/>
              <w:right w:val="double" w:sz="4" w:space="0" w:color="000000"/>
            </w:tcBorders>
            <w:shd w:val="clear" w:color="auto" w:fill="auto"/>
            <w:tcMar>
              <w:top w:w="0" w:type="dxa"/>
              <w:left w:w="30" w:type="dxa"/>
              <w:bottom w:w="0" w:type="dxa"/>
              <w:right w:w="30" w:type="dxa"/>
            </w:tcMar>
            <w:vAlign w:val="center"/>
          </w:tcPr>
          <w:p w:rsidR="004F0E9D" w:rsidRPr="001A0E92" w:rsidRDefault="004F0E9D" w:rsidP="00AA398B">
            <w:pPr>
              <w:pStyle w:val="aff"/>
              <w:tabs>
                <w:tab w:val="decimal" w:pos="2183"/>
              </w:tabs>
              <w:jc w:val="left"/>
            </w:pPr>
            <w:r w:rsidRPr="001A0E92">
              <w:rPr>
                <w:rFonts w:hint="eastAsia"/>
              </w:rPr>
              <w:t>333</w:t>
            </w:r>
          </w:p>
        </w:tc>
      </w:tr>
      <w:tr w:rsidR="001A0E92" w:rsidRPr="001A0E92" w:rsidTr="005A5E4E">
        <w:trPr>
          <w:trHeight w:val="510"/>
          <w:jc w:val="center"/>
        </w:trPr>
        <w:tc>
          <w:tcPr>
            <w:tcW w:w="2515" w:type="dxa"/>
            <w:tcBorders>
              <w:top w:val="single" w:sz="6" w:space="0" w:color="000000"/>
              <w:left w:val="double" w:sz="4" w:space="0" w:color="000000"/>
              <w:bottom w:val="double" w:sz="4" w:space="0" w:color="000000"/>
              <w:right w:val="single" w:sz="6" w:space="0" w:color="000000"/>
            </w:tcBorders>
            <w:shd w:val="clear" w:color="auto" w:fill="auto"/>
            <w:tcMar>
              <w:top w:w="0" w:type="dxa"/>
              <w:left w:w="30" w:type="dxa"/>
              <w:bottom w:w="0" w:type="dxa"/>
              <w:right w:w="30" w:type="dxa"/>
            </w:tcMar>
            <w:vAlign w:val="center"/>
          </w:tcPr>
          <w:p w:rsidR="00993C4C" w:rsidRPr="001A0E92" w:rsidRDefault="00993C4C" w:rsidP="00AA398B">
            <w:pPr>
              <w:pStyle w:val="aff"/>
            </w:pPr>
            <w:r w:rsidRPr="001A0E92">
              <w:t>總計</w:t>
            </w:r>
          </w:p>
        </w:tc>
        <w:tc>
          <w:tcPr>
            <w:tcW w:w="2327" w:type="dxa"/>
            <w:tcBorders>
              <w:top w:val="single" w:sz="6" w:space="0" w:color="000000"/>
              <w:left w:val="single" w:sz="6" w:space="0" w:color="000000"/>
              <w:bottom w:val="double" w:sz="4" w:space="0" w:color="000000"/>
              <w:right w:val="single" w:sz="6" w:space="0" w:color="000000"/>
            </w:tcBorders>
            <w:shd w:val="clear" w:color="auto" w:fill="auto"/>
            <w:tcMar>
              <w:top w:w="0" w:type="dxa"/>
              <w:left w:w="30" w:type="dxa"/>
              <w:bottom w:w="0" w:type="dxa"/>
              <w:right w:w="30" w:type="dxa"/>
            </w:tcMar>
            <w:vAlign w:val="bottom"/>
          </w:tcPr>
          <w:p w:rsidR="00993C4C" w:rsidRPr="001A0E92" w:rsidRDefault="00993C4C" w:rsidP="00993C4C">
            <w:pPr>
              <w:pStyle w:val="aff"/>
            </w:pPr>
            <w:r w:rsidRPr="001A0E92">
              <w:t>2</w:t>
            </w:r>
          </w:p>
        </w:tc>
        <w:tc>
          <w:tcPr>
            <w:tcW w:w="3722" w:type="dxa"/>
            <w:tcBorders>
              <w:top w:val="single" w:sz="6" w:space="0" w:color="000000"/>
              <w:left w:val="single" w:sz="6" w:space="0" w:color="000000"/>
              <w:bottom w:val="double" w:sz="4" w:space="0" w:color="000000"/>
              <w:right w:val="double" w:sz="4" w:space="0" w:color="000000"/>
            </w:tcBorders>
            <w:shd w:val="clear" w:color="auto" w:fill="auto"/>
            <w:tcMar>
              <w:top w:w="0" w:type="dxa"/>
              <w:left w:w="30" w:type="dxa"/>
              <w:bottom w:w="0" w:type="dxa"/>
              <w:right w:w="30" w:type="dxa"/>
            </w:tcMar>
            <w:vAlign w:val="bottom"/>
          </w:tcPr>
          <w:p w:rsidR="00993C4C" w:rsidRPr="001A0E92" w:rsidRDefault="00993C4C" w:rsidP="00993C4C">
            <w:pPr>
              <w:pStyle w:val="aff"/>
              <w:tabs>
                <w:tab w:val="decimal" w:pos="2183"/>
              </w:tabs>
              <w:jc w:val="left"/>
            </w:pPr>
            <w:r w:rsidRPr="001A0E92">
              <w:t>4,549</w:t>
            </w:r>
          </w:p>
        </w:tc>
      </w:tr>
    </w:tbl>
    <w:p w:rsidR="00D73808" w:rsidRPr="001A0E92" w:rsidRDefault="00D73808" w:rsidP="00D73808">
      <w:pPr>
        <w:pStyle w:val="aff"/>
        <w:jc w:val="left"/>
      </w:pPr>
      <w:r w:rsidRPr="001A0E92">
        <w:t>資料來源：</w:t>
      </w:r>
      <w:r w:rsidR="004F0E9D" w:rsidRPr="001A0E92">
        <w:t>經濟部投資審議司</w:t>
      </w:r>
    </w:p>
    <w:p w:rsidR="00D73808" w:rsidRPr="001A0E92" w:rsidRDefault="00D73808" w:rsidP="00D73808">
      <w:pPr>
        <w:pStyle w:val="af8"/>
        <w:ind w:left="944" w:hanging="708"/>
      </w:pPr>
    </w:p>
    <w:p w:rsidR="00D73808" w:rsidRPr="001A0E92" w:rsidRDefault="00D73808" w:rsidP="00D73808">
      <w:pPr>
        <w:pStyle w:val="af8"/>
        <w:ind w:left="944" w:hanging="708"/>
      </w:pPr>
      <w:r w:rsidRPr="001A0E92">
        <w:t>（</w:t>
      </w:r>
      <w:r w:rsidR="004F0E9D" w:rsidRPr="001A0E92">
        <w:t>二）目前在斯洛伐克投資或設有營運據點的上市櫃臺商計鴻海、台達電（含</w:t>
      </w:r>
      <w:r w:rsidR="004F0E9D" w:rsidRPr="001A0E92">
        <w:t>2014</w:t>
      </w:r>
      <w:r w:rsidR="004F0E9D" w:rsidRPr="001A0E92">
        <w:t>年底併購之</w:t>
      </w:r>
      <w:r w:rsidR="004F0E9D" w:rsidRPr="001A0E92">
        <w:t>Eltek</w:t>
      </w:r>
      <w:r w:rsidR="004F0E9D" w:rsidRPr="001A0E92">
        <w:t>斯國廠）、友達及貿聯等</w:t>
      </w:r>
      <w:r w:rsidR="004F0E9D" w:rsidRPr="001A0E92">
        <w:t>4</w:t>
      </w:r>
      <w:r w:rsidR="004F0E9D" w:rsidRPr="001A0E92">
        <w:t>家，另有中小型臺商投資於自行車零件之銷售、食品進口、珍奶零售等行業，總投資額約</w:t>
      </w:r>
      <w:r w:rsidR="004F0E9D" w:rsidRPr="001A0E92">
        <w:t>2.5</w:t>
      </w:r>
      <w:r w:rsidR="004F0E9D" w:rsidRPr="001A0E92">
        <w:t>億歐元，創造超過</w:t>
      </w:r>
      <w:r w:rsidR="004F0E9D" w:rsidRPr="001A0E92">
        <w:t>4,000</w:t>
      </w:r>
      <w:r w:rsidR="004F0E9D" w:rsidRPr="001A0E92">
        <w:t>個工作機會</w:t>
      </w:r>
      <w:r w:rsidR="004F0E9D" w:rsidRPr="001A0E92">
        <w:rPr>
          <w:rFonts w:hint="eastAsia"/>
        </w:rPr>
        <w:t>。</w:t>
      </w:r>
    </w:p>
    <w:p w:rsidR="003A4E56" w:rsidRPr="001A0E92" w:rsidRDefault="003A4E56">
      <w:pPr>
        <w:widowControl/>
        <w:pBdr>
          <w:top w:val="none" w:sz="0" w:space="0" w:color="auto"/>
          <w:left w:val="none" w:sz="0" w:space="0" w:color="auto"/>
          <w:bottom w:val="none" w:sz="0" w:space="0" w:color="auto"/>
          <w:right w:val="none" w:sz="0" w:space="0" w:color="auto"/>
        </w:pBdr>
        <w:overflowPunct/>
        <w:autoSpaceDE/>
        <w:autoSpaceDN/>
        <w:jc w:val="left"/>
        <w:rPr>
          <w:rFonts w:eastAsia="華康粗圓體"/>
          <w:kern w:val="1"/>
          <w:lang w:val="x-none"/>
        </w:rPr>
      </w:pPr>
      <w:r w:rsidRPr="001A0E92">
        <w:br w:type="page"/>
      </w:r>
    </w:p>
    <w:p w:rsidR="003A4E56" w:rsidRPr="001A0E92" w:rsidRDefault="003A4E56" w:rsidP="002332C5">
      <w:pPr>
        <w:pStyle w:val="aff1"/>
        <w:spacing w:before="240"/>
      </w:pPr>
      <w:r w:rsidRPr="001A0E92">
        <w:rPr>
          <w:rFonts w:hint="eastAsia"/>
        </w:rPr>
        <w:t>年度別及產業別統計表</w:t>
      </w:r>
    </w:p>
    <w:p w:rsidR="003A4E56" w:rsidRPr="001A0E92" w:rsidRDefault="003A4E56" w:rsidP="003A4E56">
      <w:pPr>
        <w:snapToGrid w:val="0"/>
        <w:jc w:val="right"/>
        <w:rPr>
          <w:sz w:val="18"/>
          <w:szCs w:val="18"/>
        </w:rPr>
      </w:pPr>
      <w:r w:rsidRPr="001A0E92">
        <w:rPr>
          <w:rFonts w:hint="eastAsia"/>
          <w:sz w:val="18"/>
          <w:szCs w:val="18"/>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1A0E92" w:rsidRPr="001A0E92" w:rsidTr="003A4E56">
        <w:trPr>
          <w:tblHeader/>
          <w:jc w:val="center"/>
        </w:trPr>
        <w:tc>
          <w:tcPr>
            <w:tcW w:w="3005" w:type="dxa"/>
            <w:vMerge w:val="restart"/>
            <w:tcBorders>
              <w:top w:val="single" w:sz="12" w:space="0" w:color="auto"/>
              <w:bottom w:val="single" w:sz="6" w:space="0" w:color="auto"/>
              <w:tl2br w:val="single" w:sz="6" w:space="0" w:color="auto"/>
            </w:tcBorders>
            <w:vAlign w:val="center"/>
          </w:tcPr>
          <w:p w:rsidR="003A4E56" w:rsidRPr="001A0E92" w:rsidRDefault="003A4E56" w:rsidP="003A4E56">
            <w:pPr>
              <w:widowControl/>
              <w:snapToGrid w:val="0"/>
              <w:spacing w:line="220" w:lineRule="exact"/>
              <w:jc w:val="right"/>
              <w:rPr>
                <w:sz w:val="18"/>
                <w:szCs w:val="18"/>
              </w:rPr>
            </w:pPr>
            <w:r w:rsidRPr="001A0E92">
              <w:rPr>
                <w:rFonts w:hint="eastAsia"/>
                <w:sz w:val="18"/>
                <w:szCs w:val="18"/>
              </w:rPr>
              <w:t>年　　度</w:t>
            </w:r>
          </w:p>
          <w:p w:rsidR="003A4E56" w:rsidRPr="001A0E92" w:rsidRDefault="003A4E56" w:rsidP="003A4E56">
            <w:pPr>
              <w:widowControl/>
              <w:snapToGrid w:val="0"/>
              <w:spacing w:line="220" w:lineRule="exact"/>
              <w:rPr>
                <w:sz w:val="18"/>
                <w:szCs w:val="18"/>
              </w:rPr>
            </w:pPr>
            <w:r w:rsidRPr="001A0E92">
              <w:rPr>
                <w:rFonts w:hint="eastAsia"/>
                <w:sz w:val="18"/>
                <w:szCs w:val="18"/>
              </w:rPr>
              <w:t>業　　別</w:t>
            </w:r>
          </w:p>
        </w:tc>
        <w:tc>
          <w:tcPr>
            <w:tcW w:w="1388" w:type="dxa"/>
            <w:gridSpan w:val="2"/>
            <w:vAlign w:val="center"/>
          </w:tcPr>
          <w:p w:rsidR="003A4E56" w:rsidRPr="001A0E92" w:rsidRDefault="003A4E56" w:rsidP="004F0E9D">
            <w:pPr>
              <w:widowControl/>
              <w:snapToGrid w:val="0"/>
              <w:spacing w:line="220" w:lineRule="exact"/>
              <w:jc w:val="center"/>
              <w:rPr>
                <w:sz w:val="18"/>
                <w:szCs w:val="18"/>
              </w:rPr>
            </w:pPr>
            <w:r w:rsidRPr="001A0E92">
              <w:rPr>
                <w:rFonts w:hint="eastAsia"/>
                <w:sz w:val="18"/>
                <w:szCs w:val="18"/>
              </w:rPr>
              <w:t>累計至</w:t>
            </w:r>
            <w:r w:rsidRPr="001A0E92">
              <w:rPr>
                <w:sz w:val="18"/>
                <w:szCs w:val="18"/>
              </w:rPr>
              <w:t>2</w:t>
            </w:r>
            <w:r w:rsidR="00AF4B26" w:rsidRPr="001A0E92">
              <w:rPr>
                <w:sz w:val="18"/>
                <w:szCs w:val="18"/>
              </w:rPr>
              <w:t>02</w:t>
            </w:r>
            <w:r w:rsidR="004F0E9D" w:rsidRPr="001A0E92">
              <w:rPr>
                <w:rFonts w:hint="eastAsia"/>
                <w:sz w:val="18"/>
                <w:szCs w:val="18"/>
              </w:rPr>
              <w:t>2</w:t>
            </w:r>
          </w:p>
        </w:tc>
        <w:tc>
          <w:tcPr>
            <w:tcW w:w="1389" w:type="dxa"/>
            <w:gridSpan w:val="2"/>
          </w:tcPr>
          <w:p w:rsidR="003A4E56" w:rsidRPr="001A0E92" w:rsidRDefault="004F0E9D" w:rsidP="00AF4B26">
            <w:pPr>
              <w:widowControl/>
              <w:snapToGrid w:val="0"/>
              <w:spacing w:line="220" w:lineRule="exact"/>
              <w:jc w:val="center"/>
              <w:rPr>
                <w:sz w:val="18"/>
                <w:szCs w:val="18"/>
              </w:rPr>
            </w:pPr>
            <w:r w:rsidRPr="001A0E92">
              <w:rPr>
                <w:rFonts w:hint="eastAsia"/>
                <w:sz w:val="18"/>
                <w:szCs w:val="18"/>
              </w:rPr>
              <w:t>2022</w:t>
            </w:r>
          </w:p>
        </w:tc>
        <w:tc>
          <w:tcPr>
            <w:tcW w:w="1389" w:type="dxa"/>
            <w:gridSpan w:val="2"/>
          </w:tcPr>
          <w:p w:rsidR="003A4E56" w:rsidRPr="001A0E92" w:rsidRDefault="004F0E9D" w:rsidP="00AF4B26">
            <w:pPr>
              <w:widowControl/>
              <w:snapToGrid w:val="0"/>
              <w:spacing w:line="220" w:lineRule="exact"/>
              <w:jc w:val="center"/>
              <w:rPr>
                <w:sz w:val="18"/>
                <w:szCs w:val="18"/>
              </w:rPr>
            </w:pPr>
            <w:r w:rsidRPr="001A0E92">
              <w:rPr>
                <w:rFonts w:hint="eastAsia"/>
                <w:sz w:val="18"/>
                <w:szCs w:val="18"/>
              </w:rPr>
              <w:t>2021</w:t>
            </w:r>
          </w:p>
        </w:tc>
        <w:tc>
          <w:tcPr>
            <w:tcW w:w="1389" w:type="dxa"/>
            <w:gridSpan w:val="2"/>
            <w:vAlign w:val="center"/>
          </w:tcPr>
          <w:p w:rsidR="003A4E56" w:rsidRPr="001A0E92" w:rsidRDefault="004F0E9D" w:rsidP="003A4E56">
            <w:pPr>
              <w:widowControl/>
              <w:snapToGrid w:val="0"/>
              <w:spacing w:line="220" w:lineRule="exact"/>
              <w:jc w:val="center"/>
              <w:rPr>
                <w:sz w:val="18"/>
                <w:szCs w:val="18"/>
              </w:rPr>
            </w:pPr>
            <w:r w:rsidRPr="001A0E92">
              <w:rPr>
                <w:sz w:val="18"/>
                <w:szCs w:val="18"/>
              </w:rPr>
              <w:t>2020</w:t>
            </w:r>
          </w:p>
        </w:tc>
      </w:tr>
      <w:tr w:rsidR="001A0E92" w:rsidRPr="001A0E92" w:rsidTr="003A4E56">
        <w:trPr>
          <w:tblHeader/>
          <w:jc w:val="center"/>
        </w:trPr>
        <w:tc>
          <w:tcPr>
            <w:tcW w:w="3005" w:type="dxa"/>
            <w:vMerge/>
            <w:tcBorders>
              <w:top w:val="single" w:sz="6" w:space="0" w:color="auto"/>
              <w:bottom w:val="single" w:sz="6" w:space="0" w:color="auto"/>
              <w:tl2br w:val="single" w:sz="6" w:space="0" w:color="auto"/>
            </w:tcBorders>
            <w:vAlign w:val="center"/>
          </w:tcPr>
          <w:p w:rsidR="003A4E56" w:rsidRPr="001A0E92" w:rsidRDefault="003A4E56" w:rsidP="003A4E56">
            <w:pPr>
              <w:widowControl/>
              <w:autoSpaceDE/>
              <w:autoSpaceDN/>
              <w:spacing w:line="220" w:lineRule="exact"/>
              <w:jc w:val="left"/>
              <w:rPr>
                <w:sz w:val="18"/>
                <w:szCs w:val="18"/>
              </w:rPr>
            </w:pPr>
          </w:p>
        </w:tc>
        <w:tc>
          <w:tcPr>
            <w:tcW w:w="509" w:type="dxa"/>
            <w:vAlign w:val="center"/>
          </w:tcPr>
          <w:p w:rsidR="003A4E56" w:rsidRPr="001A0E92" w:rsidRDefault="003A4E56" w:rsidP="003A4E56">
            <w:pPr>
              <w:widowControl/>
              <w:snapToGrid w:val="0"/>
              <w:spacing w:line="220" w:lineRule="exact"/>
              <w:jc w:val="center"/>
              <w:rPr>
                <w:sz w:val="18"/>
                <w:szCs w:val="18"/>
              </w:rPr>
            </w:pPr>
            <w:r w:rsidRPr="001A0E92">
              <w:rPr>
                <w:rFonts w:hint="eastAsia"/>
                <w:sz w:val="18"/>
                <w:szCs w:val="18"/>
              </w:rPr>
              <w:t>件數</w:t>
            </w:r>
          </w:p>
        </w:tc>
        <w:tc>
          <w:tcPr>
            <w:tcW w:w="879" w:type="dxa"/>
            <w:vAlign w:val="center"/>
          </w:tcPr>
          <w:p w:rsidR="003A4E56" w:rsidRPr="001A0E92" w:rsidRDefault="003A4E56" w:rsidP="003A4E56">
            <w:pPr>
              <w:widowControl/>
              <w:snapToGrid w:val="0"/>
              <w:spacing w:line="220" w:lineRule="exact"/>
              <w:jc w:val="center"/>
              <w:rPr>
                <w:sz w:val="18"/>
                <w:szCs w:val="18"/>
              </w:rPr>
            </w:pPr>
            <w:r w:rsidRPr="001A0E92">
              <w:rPr>
                <w:rFonts w:hint="eastAsia"/>
                <w:sz w:val="18"/>
                <w:szCs w:val="18"/>
              </w:rPr>
              <w:t>金額</w:t>
            </w:r>
          </w:p>
        </w:tc>
        <w:tc>
          <w:tcPr>
            <w:tcW w:w="549" w:type="dxa"/>
            <w:vAlign w:val="center"/>
          </w:tcPr>
          <w:p w:rsidR="003A4E56" w:rsidRPr="001A0E92" w:rsidRDefault="003A4E56" w:rsidP="003A4E56">
            <w:pPr>
              <w:widowControl/>
              <w:snapToGrid w:val="0"/>
              <w:spacing w:line="220" w:lineRule="exact"/>
              <w:jc w:val="center"/>
              <w:rPr>
                <w:sz w:val="18"/>
                <w:szCs w:val="18"/>
              </w:rPr>
            </w:pPr>
            <w:r w:rsidRPr="001A0E92">
              <w:rPr>
                <w:rFonts w:hint="eastAsia"/>
                <w:sz w:val="18"/>
                <w:szCs w:val="18"/>
              </w:rPr>
              <w:t>件數</w:t>
            </w:r>
          </w:p>
        </w:tc>
        <w:tc>
          <w:tcPr>
            <w:tcW w:w="840" w:type="dxa"/>
            <w:vAlign w:val="center"/>
          </w:tcPr>
          <w:p w:rsidR="003A4E56" w:rsidRPr="001A0E92" w:rsidRDefault="003A4E56" w:rsidP="003A4E56">
            <w:pPr>
              <w:widowControl/>
              <w:snapToGrid w:val="0"/>
              <w:spacing w:line="220" w:lineRule="exact"/>
              <w:jc w:val="center"/>
              <w:rPr>
                <w:sz w:val="18"/>
                <w:szCs w:val="18"/>
              </w:rPr>
            </w:pPr>
            <w:r w:rsidRPr="001A0E92">
              <w:rPr>
                <w:rFonts w:hint="eastAsia"/>
                <w:sz w:val="18"/>
                <w:szCs w:val="18"/>
              </w:rPr>
              <w:t>金額</w:t>
            </w:r>
          </w:p>
        </w:tc>
        <w:tc>
          <w:tcPr>
            <w:tcW w:w="483" w:type="dxa"/>
            <w:vAlign w:val="center"/>
          </w:tcPr>
          <w:p w:rsidR="003A4E56" w:rsidRPr="001A0E92" w:rsidRDefault="003A4E56" w:rsidP="003A4E56">
            <w:pPr>
              <w:widowControl/>
              <w:snapToGrid w:val="0"/>
              <w:spacing w:line="220" w:lineRule="exact"/>
              <w:jc w:val="center"/>
              <w:rPr>
                <w:sz w:val="18"/>
                <w:szCs w:val="18"/>
              </w:rPr>
            </w:pPr>
            <w:r w:rsidRPr="001A0E92">
              <w:rPr>
                <w:rFonts w:hint="eastAsia"/>
                <w:sz w:val="18"/>
                <w:szCs w:val="18"/>
              </w:rPr>
              <w:t>件數</w:t>
            </w:r>
          </w:p>
        </w:tc>
        <w:tc>
          <w:tcPr>
            <w:tcW w:w="906" w:type="dxa"/>
            <w:vAlign w:val="center"/>
          </w:tcPr>
          <w:p w:rsidR="003A4E56" w:rsidRPr="001A0E92" w:rsidRDefault="003A4E56" w:rsidP="003A4E56">
            <w:pPr>
              <w:widowControl/>
              <w:snapToGrid w:val="0"/>
              <w:spacing w:line="220" w:lineRule="exact"/>
              <w:jc w:val="center"/>
              <w:rPr>
                <w:sz w:val="18"/>
                <w:szCs w:val="18"/>
              </w:rPr>
            </w:pPr>
            <w:r w:rsidRPr="001A0E92">
              <w:rPr>
                <w:rFonts w:hint="eastAsia"/>
                <w:sz w:val="18"/>
                <w:szCs w:val="18"/>
              </w:rPr>
              <w:t>金額</w:t>
            </w:r>
          </w:p>
        </w:tc>
        <w:tc>
          <w:tcPr>
            <w:tcW w:w="512" w:type="dxa"/>
            <w:noWrap/>
            <w:vAlign w:val="center"/>
          </w:tcPr>
          <w:p w:rsidR="003A4E56" w:rsidRPr="001A0E92" w:rsidRDefault="003A4E56" w:rsidP="003A4E56">
            <w:pPr>
              <w:widowControl/>
              <w:snapToGrid w:val="0"/>
              <w:spacing w:line="220" w:lineRule="exact"/>
              <w:jc w:val="center"/>
              <w:rPr>
                <w:sz w:val="18"/>
                <w:szCs w:val="18"/>
              </w:rPr>
            </w:pPr>
            <w:r w:rsidRPr="001A0E92">
              <w:rPr>
                <w:rFonts w:hint="eastAsia"/>
                <w:sz w:val="18"/>
                <w:szCs w:val="18"/>
              </w:rPr>
              <w:t>件數</w:t>
            </w:r>
          </w:p>
        </w:tc>
        <w:tc>
          <w:tcPr>
            <w:tcW w:w="877" w:type="dxa"/>
            <w:vAlign w:val="center"/>
          </w:tcPr>
          <w:p w:rsidR="003A4E56" w:rsidRPr="001A0E92" w:rsidRDefault="003A4E56" w:rsidP="003A4E56">
            <w:pPr>
              <w:widowControl/>
              <w:snapToGrid w:val="0"/>
              <w:spacing w:line="220" w:lineRule="exact"/>
              <w:jc w:val="center"/>
              <w:rPr>
                <w:sz w:val="18"/>
                <w:szCs w:val="18"/>
              </w:rPr>
            </w:pPr>
            <w:r w:rsidRPr="001A0E92">
              <w:rPr>
                <w:rFonts w:hint="eastAsia"/>
                <w:sz w:val="18"/>
                <w:szCs w:val="18"/>
              </w:rPr>
              <w:t>金額</w:t>
            </w:r>
          </w:p>
        </w:tc>
      </w:tr>
      <w:tr w:rsidR="001A0E92" w:rsidRPr="001A0E92" w:rsidTr="005A5E4E">
        <w:trPr>
          <w:jc w:val="center"/>
        </w:trPr>
        <w:tc>
          <w:tcPr>
            <w:tcW w:w="3005" w:type="dxa"/>
            <w:tcBorders>
              <w:top w:val="single" w:sz="6" w:space="0" w:color="auto"/>
            </w:tcBorders>
            <w:noWrap/>
            <w:vAlign w:val="center"/>
          </w:tcPr>
          <w:p w:rsidR="00993C4C" w:rsidRPr="001A0E92" w:rsidRDefault="00993C4C" w:rsidP="003A4E56">
            <w:pPr>
              <w:widowControl/>
              <w:snapToGrid w:val="0"/>
              <w:spacing w:line="220" w:lineRule="exact"/>
              <w:rPr>
                <w:sz w:val="18"/>
                <w:szCs w:val="18"/>
              </w:rPr>
            </w:pPr>
            <w:r w:rsidRPr="001A0E92">
              <w:rPr>
                <w:sz w:val="18"/>
                <w:szCs w:val="18"/>
              </w:rPr>
              <w:t>合計</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2</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4,549</w:t>
            </w:r>
          </w:p>
        </w:tc>
        <w:tc>
          <w:tcPr>
            <w:tcW w:w="549" w:type="dxa"/>
            <w:vAlign w:val="bottom"/>
          </w:tcPr>
          <w:p w:rsidR="00993C4C" w:rsidRPr="001A0E92" w:rsidRDefault="00993C4C" w:rsidP="005A5E4E">
            <w:pPr>
              <w:snapToGrid w:val="0"/>
              <w:spacing w:line="220" w:lineRule="exact"/>
              <w:jc w:val="right"/>
              <w:rPr>
                <w:kern w:val="2"/>
                <w:sz w:val="16"/>
                <w:szCs w:val="16"/>
                <w:lang w:eastAsia="zh-CN"/>
              </w:rPr>
            </w:pPr>
            <w:r w:rsidRPr="001A0E92">
              <w:rPr>
                <w:rFonts w:hint="eastAsia"/>
                <w:kern w:val="2"/>
                <w:sz w:val="16"/>
                <w:szCs w:val="16"/>
                <w:lang w:eastAsia="zh-CN"/>
              </w:rPr>
              <w:t>1</w:t>
            </w:r>
          </w:p>
        </w:tc>
        <w:tc>
          <w:tcPr>
            <w:tcW w:w="840" w:type="dxa"/>
            <w:vAlign w:val="bottom"/>
          </w:tcPr>
          <w:p w:rsidR="00993C4C" w:rsidRPr="001A0E92" w:rsidRDefault="00993C4C" w:rsidP="005A5E4E">
            <w:pPr>
              <w:snapToGrid w:val="0"/>
              <w:spacing w:line="220" w:lineRule="exact"/>
              <w:jc w:val="right"/>
              <w:rPr>
                <w:kern w:val="2"/>
                <w:sz w:val="16"/>
                <w:szCs w:val="16"/>
                <w:lang w:eastAsia="zh-CN"/>
              </w:rPr>
            </w:pPr>
            <w:r w:rsidRPr="001A0E92">
              <w:rPr>
                <w:rFonts w:hint="eastAsia"/>
                <w:kern w:val="2"/>
                <w:sz w:val="16"/>
                <w:szCs w:val="16"/>
                <w:lang w:eastAsia="zh-CN"/>
              </w:rPr>
              <w:t>333</w:t>
            </w:r>
          </w:p>
        </w:tc>
        <w:tc>
          <w:tcPr>
            <w:tcW w:w="483"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農林漁牧業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礦業及土石採取業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1</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4,216</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食品製造業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飲料製造業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菸草製造業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紡織業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成衣及服飾品製造業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皮革、毛皮及其製品製造業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木竹製品製造業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紙漿、紙及紙製品製造業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印刷及資料儲存媒體複製業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石油及煤製品製造業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化學材料製造業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化學製品製造業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藥品製造業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橡膠製品製造業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塑膠製品製造業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非金屬礦物製品製造業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基本金屬製造業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金屬製品製造業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電子零組件製造業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1</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4,216</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電腦、電子產品及光學製品製造業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電力設備製造業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機械設備製造業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汽車及其零件製造業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其他運輸工具製造業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家具製造業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其他製造業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 xml:space="preserve">　產業用機械設備維修及安裝業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電力及燃氣供應業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用水供應及污染整治業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營造業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批發及零售業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1</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333</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1</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333</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運輸及倉儲業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住宿及餐飲業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資訊及通訊傳播業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金融及保險業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不動產業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專業、科學及技術服務業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支援服務業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公共行政及國防；強制性社會安全</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教育服務業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醫療保健及社會工作服務業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藝術、娛樂及休閒服務業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r w:rsidR="001A0E92" w:rsidRPr="001A0E92" w:rsidTr="005A5E4E">
        <w:trPr>
          <w:jc w:val="center"/>
        </w:trPr>
        <w:tc>
          <w:tcPr>
            <w:tcW w:w="3005" w:type="dxa"/>
            <w:noWrap/>
            <w:vAlign w:val="center"/>
          </w:tcPr>
          <w:p w:rsidR="00993C4C" w:rsidRPr="001A0E92" w:rsidRDefault="00993C4C" w:rsidP="003A4E56">
            <w:pPr>
              <w:widowControl/>
              <w:snapToGrid w:val="0"/>
              <w:spacing w:line="220" w:lineRule="exact"/>
              <w:rPr>
                <w:sz w:val="18"/>
                <w:szCs w:val="18"/>
              </w:rPr>
            </w:pPr>
            <w:r w:rsidRPr="001A0E92">
              <w:rPr>
                <w:sz w:val="18"/>
                <w:szCs w:val="18"/>
              </w:rPr>
              <w:t>其他服務業</w:t>
            </w:r>
          </w:p>
        </w:tc>
        <w:tc>
          <w:tcPr>
            <w:tcW w:w="50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879" w:type="dxa"/>
            <w:vAlign w:val="bottom"/>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0</w:t>
            </w:r>
          </w:p>
        </w:tc>
        <w:tc>
          <w:tcPr>
            <w:tcW w:w="549"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840" w:type="dxa"/>
            <w:vAlign w:val="bottom"/>
          </w:tcPr>
          <w:p w:rsidR="00993C4C" w:rsidRPr="001A0E92" w:rsidRDefault="00993C4C" w:rsidP="00993C4C">
            <w:pPr>
              <w:snapToGrid w:val="0"/>
              <w:spacing w:line="220" w:lineRule="exact"/>
              <w:jc w:val="right"/>
              <w:rPr>
                <w:kern w:val="2"/>
                <w:sz w:val="16"/>
                <w:szCs w:val="16"/>
                <w:lang w:eastAsia="zh-CN"/>
              </w:rPr>
            </w:pPr>
            <w:r w:rsidRPr="001A0E92">
              <w:rPr>
                <w:rFonts w:hint="eastAsia"/>
                <w:kern w:val="2"/>
                <w:sz w:val="16"/>
                <w:szCs w:val="16"/>
                <w:lang w:eastAsia="zh-CN"/>
              </w:rPr>
              <w:t>0</w:t>
            </w:r>
          </w:p>
        </w:tc>
        <w:tc>
          <w:tcPr>
            <w:tcW w:w="483" w:type="dxa"/>
            <w:vAlign w:val="center"/>
          </w:tcPr>
          <w:p w:rsidR="00993C4C" w:rsidRPr="001A0E92" w:rsidRDefault="00993C4C" w:rsidP="00993C4C">
            <w:pPr>
              <w:snapToGrid w:val="0"/>
              <w:spacing w:line="220" w:lineRule="exact"/>
              <w:jc w:val="right"/>
              <w:rPr>
                <w:kern w:val="2"/>
                <w:sz w:val="16"/>
                <w:szCs w:val="16"/>
                <w:lang w:eastAsia="zh-CN"/>
              </w:rPr>
            </w:pPr>
            <w:r w:rsidRPr="001A0E92">
              <w:rPr>
                <w:kern w:val="2"/>
                <w:sz w:val="16"/>
                <w:szCs w:val="16"/>
                <w:lang w:eastAsia="zh-CN"/>
              </w:rPr>
              <w:t xml:space="preserve">0 </w:t>
            </w:r>
          </w:p>
        </w:tc>
        <w:tc>
          <w:tcPr>
            <w:tcW w:w="906" w:type="dxa"/>
            <w:vAlign w:val="center"/>
          </w:tcPr>
          <w:p w:rsidR="00993C4C" w:rsidRPr="001A0E92" w:rsidRDefault="00993C4C" w:rsidP="003A4E56">
            <w:pPr>
              <w:snapToGrid w:val="0"/>
              <w:spacing w:line="220" w:lineRule="exact"/>
              <w:jc w:val="right"/>
              <w:rPr>
                <w:kern w:val="2"/>
                <w:sz w:val="16"/>
                <w:szCs w:val="16"/>
                <w:lang w:eastAsia="zh-CN"/>
              </w:rPr>
            </w:pPr>
            <w:r w:rsidRPr="001A0E92">
              <w:rPr>
                <w:kern w:val="2"/>
                <w:sz w:val="16"/>
                <w:szCs w:val="16"/>
                <w:lang w:eastAsia="zh-CN"/>
              </w:rPr>
              <w:t xml:space="preserve">0 </w:t>
            </w:r>
          </w:p>
        </w:tc>
        <w:tc>
          <w:tcPr>
            <w:tcW w:w="512" w:type="dxa"/>
            <w:noWrap/>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c>
          <w:tcPr>
            <w:tcW w:w="877" w:type="dxa"/>
            <w:vAlign w:val="center"/>
          </w:tcPr>
          <w:p w:rsidR="00993C4C" w:rsidRPr="001A0E92" w:rsidRDefault="00993C4C" w:rsidP="00AA398B">
            <w:pPr>
              <w:snapToGrid w:val="0"/>
              <w:spacing w:line="220" w:lineRule="exact"/>
              <w:jc w:val="right"/>
              <w:rPr>
                <w:kern w:val="2"/>
                <w:sz w:val="16"/>
                <w:szCs w:val="16"/>
                <w:lang w:eastAsia="zh-CN"/>
              </w:rPr>
            </w:pPr>
            <w:r w:rsidRPr="001A0E92">
              <w:rPr>
                <w:kern w:val="2"/>
                <w:sz w:val="16"/>
                <w:szCs w:val="16"/>
                <w:lang w:eastAsia="zh-CN"/>
              </w:rPr>
              <w:t xml:space="preserve">0 </w:t>
            </w:r>
          </w:p>
        </w:tc>
      </w:tr>
    </w:tbl>
    <w:p w:rsidR="0032277D" w:rsidRPr="001A0E92" w:rsidRDefault="003A4E56" w:rsidP="005A1A4A">
      <w:pPr>
        <w:widowControl/>
        <w:snapToGrid w:val="0"/>
        <w:spacing w:line="220" w:lineRule="exact"/>
        <w:rPr>
          <w:sz w:val="18"/>
          <w:szCs w:val="18"/>
        </w:rPr>
      </w:pPr>
      <w:r w:rsidRPr="001A0E92">
        <w:rPr>
          <w:rFonts w:hint="eastAsia"/>
          <w:sz w:val="18"/>
          <w:szCs w:val="18"/>
        </w:rPr>
        <w:t>資料來源：經濟部</w:t>
      </w:r>
      <w:r w:rsidR="004F0E9D" w:rsidRPr="001A0E92">
        <w:rPr>
          <w:rFonts w:hint="eastAsia"/>
          <w:sz w:val="18"/>
          <w:szCs w:val="18"/>
        </w:rPr>
        <w:t>投資審議司</w:t>
      </w:r>
    </w:p>
    <w:p w:rsidR="00CD12E4" w:rsidRPr="001A0E92" w:rsidRDefault="00CD12E4" w:rsidP="004C1279">
      <w:pPr>
        <w:pStyle w:val="af2"/>
        <w:spacing w:before="514" w:after="771"/>
        <w:rPr>
          <w:rFonts w:eastAsia="MS Mincho"/>
        </w:rPr>
      </w:pPr>
      <w:bookmarkStart w:id="32" w:name="_Toc145895383"/>
      <w:r w:rsidRPr="001A0E92">
        <w:t>附錄</w:t>
      </w:r>
      <w:r w:rsidRPr="001A0E92">
        <w:rPr>
          <w:rFonts w:hint="eastAsia"/>
          <w:lang w:eastAsia="zh-TW"/>
        </w:rPr>
        <w:t>五</w:t>
      </w:r>
      <w:r w:rsidRPr="001A0E92">
        <w:t xml:space="preserve">　</w:t>
      </w:r>
      <w:r w:rsidRPr="001A0E92">
        <w:rPr>
          <w:rFonts w:hint="eastAsia"/>
          <w:lang w:eastAsia="zh-TW"/>
        </w:rPr>
        <w:t>其他重要資料</w:t>
      </w:r>
      <w:bookmarkEnd w:id="32"/>
    </w:p>
    <w:p w:rsidR="00D73808" w:rsidRPr="001A0E92" w:rsidRDefault="00D73808" w:rsidP="004C1279">
      <w:pPr>
        <w:pStyle w:val="aff1"/>
      </w:pPr>
      <w:r w:rsidRPr="001A0E92">
        <w:t>我國與斯洛伐克雙邊重要經貿協定一覽表</w:t>
      </w:r>
    </w:p>
    <w:tbl>
      <w:tblPr>
        <w:tblW w:w="8784" w:type="dxa"/>
        <w:tblCellMar>
          <w:left w:w="10" w:type="dxa"/>
          <w:right w:w="10" w:type="dxa"/>
        </w:tblCellMar>
        <w:tblLook w:val="04A0" w:firstRow="1" w:lastRow="0" w:firstColumn="1" w:lastColumn="0" w:noHBand="0" w:noVBand="1"/>
      </w:tblPr>
      <w:tblGrid>
        <w:gridCol w:w="2972"/>
        <w:gridCol w:w="5812"/>
      </w:tblGrid>
      <w:tr w:rsidR="001A0E92" w:rsidRPr="001A0E92" w:rsidTr="004C1279">
        <w:trPr>
          <w:tblHeader/>
        </w:trPr>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簽署時間</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協定</w:t>
            </w:r>
            <w:r w:rsidRPr="001A0E92">
              <w:t>/MoU</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2006.5.26</w:t>
            </w:r>
          </w:p>
          <w:p w:rsidR="004F0E9D" w:rsidRPr="001A0E92" w:rsidRDefault="004F0E9D" w:rsidP="004F0E9D">
            <w:pPr>
              <w:pStyle w:val="aff"/>
            </w:pP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貿協與斯國</w:t>
            </w:r>
            <w:r w:rsidRPr="001A0E92">
              <w:t>Incheba</w:t>
            </w:r>
            <w:r w:rsidRPr="001A0E92">
              <w:t>廠商相互協助推動貿易展覽及加強</w:t>
            </w:r>
            <w:r w:rsidRPr="001A0E92">
              <w:t xml:space="preserve"> </w:t>
            </w:r>
            <w:r w:rsidRPr="001A0E92">
              <w:t>貿易展覽訊息互換合作備忘錄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2007.7.23</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臺斯航空運輸服務協定</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2009.5.21</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臺斯科學合作協議附約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2010.9.2</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我輸出入銀行與斯國</w:t>
            </w:r>
            <w:r w:rsidRPr="001A0E92">
              <w:t>UniCredit Bank</w:t>
            </w:r>
            <w:r w:rsidRPr="001A0E92">
              <w:t>轉融資合作協議</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2011.8.10</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雙重課稅協定</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2012.1.25</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標準檢驗合作備忘錄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2012.2.28</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臺斯電子化政府合作備忘錄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2012.3.1</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免試換發駕照協議</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2012.9.20</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臺斯可移轉技術合作備忘錄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2014.04.15</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臺斯度假打工合作備忘錄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2019.04.01</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臺斯經濟發展合作備忘錄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2021.10.22</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科學園區合作備忘錄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2021.10.22</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太空發展合作備忘錄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2021.10.22</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電動車合作備忘錄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2021.10.22</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觀光合作備忘錄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2021.10.22</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中小企業數位化合作備忘錄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2021.10.22</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智慧城市合作備忘錄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2021.12.6</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研發創新合作備忘錄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2021.12.6</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貿易合作備忘錄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2021.12.9</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觀光合作備忘錄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2021.12.8</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科學園區合作備忘錄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2021.12.8</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太空合作備忘錄</w:t>
            </w:r>
          </w:p>
        </w:tc>
      </w:tr>
      <w:tr w:rsidR="001A0E92"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2021.12.9</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科學合作備忘錄</w:t>
            </w:r>
          </w:p>
        </w:tc>
      </w:tr>
      <w:tr w:rsidR="004F0E9D" w:rsidRPr="001A0E92" w:rsidTr="00AA398B">
        <w:tc>
          <w:tcPr>
            <w:tcW w:w="29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
            </w:pPr>
            <w:r w:rsidRPr="001A0E92">
              <w:t>2021.12.9</w:t>
            </w:r>
          </w:p>
        </w:tc>
        <w:tc>
          <w:tcPr>
            <w:tcW w:w="58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4F0E9D" w:rsidRPr="001A0E92" w:rsidRDefault="004F0E9D" w:rsidP="004F0E9D">
            <w:pPr>
              <w:pStyle w:val="aff9"/>
            </w:pPr>
            <w:r w:rsidRPr="001A0E92">
              <w:t>半導體學院合作備忘錄</w:t>
            </w:r>
          </w:p>
        </w:tc>
      </w:tr>
    </w:tbl>
    <w:p w:rsidR="004C1279" w:rsidRPr="001A0E92" w:rsidRDefault="004C1279" w:rsidP="00CD12E4"/>
    <w:p w:rsidR="004C1279" w:rsidRPr="001A0E92" w:rsidRDefault="004C1279">
      <w:pPr>
        <w:widowControl/>
        <w:pBdr>
          <w:top w:val="none" w:sz="0" w:space="0" w:color="auto"/>
          <w:left w:val="none" w:sz="0" w:space="0" w:color="auto"/>
          <w:bottom w:val="none" w:sz="0" w:space="0" w:color="auto"/>
          <w:right w:val="none" w:sz="0" w:space="0" w:color="auto"/>
        </w:pBdr>
        <w:overflowPunct/>
        <w:autoSpaceDE/>
        <w:autoSpaceDN/>
        <w:jc w:val="left"/>
      </w:pPr>
      <w:r w:rsidRPr="001A0E92">
        <w:br w:type="page"/>
      </w:r>
    </w:p>
    <w:p w:rsidR="00CD12E4" w:rsidRPr="001A0E92" w:rsidRDefault="00CD12E4" w:rsidP="00CD12E4"/>
    <w:p w:rsidR="00CD12E4" w:rsidRPr="001A0E92" w:rsidRDefault="00CD12E4" w:rsidP="005A1A4A">
      <w:pPr>
        <w:widowControl/>
        <w:snapToGrid w:val="0"/>
        <w:spacing w:line="220" w:lineRule="exact"/>
        <w:rPr>
          <w:rFonts w:eastAsiaTheme="minorEastAsia"/>
        </w:rPr>
        <w:sectPr w:rsidR="00CD12E4" w:rsidRPr="001A0E92" w:rsidSect="00D8781B">
          <w:headerReference w:type="default" r:id="rId67"/>
          <w:footerReference w:type="even" r:id="rId68"/>
          <w:footerReference w:type="default" r:id="rId69"/>
          <w:headerReference w:type="first" r:id="rId70"/>
          <w:footerReference w:type="first" r:id="rId71"/>
          <w:pgSz w:w="11906" w:h="16838"/>
          <w:pgMar w:top="2268" w:right="1701" w:bottom="1701" w:left="1701" w:header="1134" w:footer="851" w:gutter="0"/>
          <w:cols w:space="720"/>
          <w:docGrid w:type="linesAndChars" w:linePitch="514" w:charSpace="-819"/>
        </w:sectPr>
      </w:pPr>
    </w:p>
    <w:p w:rsidR="000D4E50" w:rsidRPr="001A0E92" w:rsidRDefault="000D4E50" w:rsidP="000D4E50">
      <w:pPr>
        <w:pStyle w:val="a0"/>
        <w:ind w:firstLine="472"/>
        <w:rPr>
          <w:lang w:val="en-US"/>
        </w:rPr>
      </w:pPr>
    </w:p>
    <w:p w:rsidR="000D4E50" w:rsidRPr="001A0E92" w:rsidRDefault="000D4E50" w:rsidP="006F3E9A">
      <w:pPr>
        <w:pStyle w:val="af2"/>
        <w:spacing w:before="514" w:after="771"/>
        <w:ind w:firstLine="472"/>
        <w:rPr>
          <w:rFonts w:eastAsia="MS Mincho"/>
          <w:sz w:val="24"/>
        </w:rPr>
      </w:pPr>
    </w:p>
    <w:p w:rsidR="00A80D41" w:rsidRPr="001A0E92" w:rsidRDefault="00B65EA8">
      <w:pPr>
        <w:pStyle w:val="a0"/>
        <w:pageBreakBefore/>
        <w:ind w:firstLine="472"/>
      </w:pPr>
      <w:r w:rsidRPr="001A0E92">
        <w:rPr>
          <w:noProof/>
          <w:lang w:val="en-US"/>
        </w:rPr>
        <mc:AlternateContent>
          <mc:Choice Requires="wps">
            <w:drawing>
              <wp:anchor distT="0" distB="0" distL="114300" distR="114300" simplePos="0" relativeHeight="251658752" behindDoc="0" locked="0" layoutInCell="1" allowOverlap="1" wp14:anchorId="7A2D14C9" wp14:editId="2E836F5D">
                <wp:simplePos x="0" y="0"/>
                <wp:positionH relativeFrom="column">
                  <wp:posOffset>-150495</wp:posOffset>
                </wp:positionH>
                <wp:positionV relativeFrom="paragraph">
                  <wp:posOffset>6271260</wp:posOffset>
                </wp:positionV>
                <wp:extent cx="6069965" cy="2118360"/>
                <wp:effectExtent l="0" t="0" r="6985" b="0"/>
                <wp:wrapNone/>
                <wp:docPr id="5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9965" cy="2118360"/>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FFFFFF"/>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A5E4E" w:rsidRDefault="005A5E4E">
                            <w:pPr>
                              <w:rPr>
                                <w:rFonts w:ascii="華康新特黑體" w:eastAsia="華康新特黑體" w:hAnsi="華康新特黑體"/>
                                <w:color w:val="000000"/>
                              </w:rPr>
                            </w:pPr>
                            <w:r w:rsidRPr="00950597">
                              <w:rPr>
                                <w:rFonts w:ascii="華康新特黑體" w:eastAsia="華康新特黑體" w:hAnsi="華康新特黑體" w:hint="eastAsia"/>
                                <w:color w:val="000000"/>
                              </w:rPr>
                              <w:t>經濟部投資促進司</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地    址：</w:t>
                            </w:r>
                            <w:r w:rsidRPr="00950597">
                              <w:rPr>
                                <w:rFonts w:ascii="華康中黑體(P)" w:eastAsia="華康中黑體(P)" w:hAnsi="Arial" w:cs="Arial" w:hint="eastAsia"/>
                                <w:kern w:val="2"/>
                                <w:sz w:val="20"/>
                              </w:rPr>
                              <w:t>臺北市中正區愛國東路 82 號 3 樓</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電    話：+886-2-2389-2111</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傳    真：+886-2-2382-0497</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網    址：</w:t>
                            </w:r>
                            <w:r w:rsidRPr="00702447">
                              <w:rPr>
                                <w:rFonts w:ascii="華康中黑體(P)" w:eastAsia="華康中黑體(P)" w:hAnsi="Arial" w:cs="Arial"/>
                                <w:sz w:val="20"/>
                              </w:rPr>
                              <w:t>https://investtaiwan.nat.gov.tw/</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電子信箱：doi</w:t>
                            </w:r>
                            <w:r w:rsidR="003C04EF">
                              <w:rPr>
                                <w:rFonts w:ascii="華康中黑體(P)" w:eastAsia="華康中黑體(P)" w:hAnsi="Arial" w:cs="Arial" w:hint="eastAsia"/>
                                <w:kern w:val="2"/>
                                <w:sz w:val="20"/>
                              </w:rPr>
                              <w:t>s</w:t>
                            </w:r>
                            <w:r w:rsidRPr="00B65EA8">
                              <w:rPr>
                                <w:rFonts w:ascii="華康中黑體(P)" w:eastAsia="華康中黑體(P)" w:hAnsi="Arial" w:cs="Arial"/>
                                <w:kern w:val="2"/>
                                <w:sz w:val="20"/>
                              </w:rPr>
                              <w:t>@moea.gov.tw</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p>
                          <w:p w:rsidR="005A5E4E" w:rsidRPr="003C04EF"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bookmarkStart w:id="33" w:name="_GoBack"/>
                            <w:bookmarkEnd w:id="33"/>
                          </w:p>
                        </w:txbxContent>
                      </wps:txbx>
                      <wps:bodyPr rot="0" vert="horz" wrap="square" lIns="0" tIns="0" rIns="0" bIns="0" anchor="t" anchorCtr="0">
                        <a:noAutofit/>
                      </wps:bodyPr>
                    </wps:wsp>
                  </a:graphicData>
                </a:graphic>
                <wp14:sizeRelH relativeFrom="page">
                  <wp14:pctWidth>0</wp14:pctWidth>
                </wp14:sizeRelH>
                <wp14:sizeRelV relativeFrom="page">
                  <wp14:pctHeight>0</wp14:pctHeight>
                </wp14:sizeRelV>
              </wp:anchor>
            </w:drawing>
          </mc:Choice>
          <mc:Fallback>
            <w:pict>
              <v:shape id="Text Box 5" o:spid="_x0000_s1027" style="position:absolute;left:0;text-align:left;margin-left:-11.85pt;margin-top:493.8pt;width:477.95pt;height:166.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" adj="-11796480,,5400" path="m,l21600,r,21600l,21600,,xe" stroked="f" strokecolor="#385d8a" strokeweight=".71mm">
                <v:stroke joinstyle="round"/>
                <v:formulas/>
                <v:path o:connecttype="custom" o:connectlocs="0,0;6069965,0;6069965,2118360;0,2118360" o:connectangles="0,0,0,0" textboxrect="0,0,21600,21600"/>
                <v:textbox inset="0,0,0,0">
                  <w:txbxContent>
                    <w:p w:rsidR="005A5E4E" w:rsidRDefault="005A5E4E">
                      <w:pPr>
                        <w:rPr>
                          <w:rFonts w:ascii="華康新特黑體" w:eastAsia="華康新特黑體" w:hAnsi="華康新特黑體"/>
                          <w:color w:val="000000"/>
                        </w:rPr>
                      </w:pPr>
                      <w:r w:rsidRPr="00950597">
                        <w:rPr>
                          <w:rFonts w:ascii="華康新特黑體" w:eastAsia="華康新特黑體" w:hAnsi="華康新特黑體" w:hint="eastAsia"/>
                          <w:color w:val="000000"/>
                        </w:rPr>
                        <w:t>經濟部投資促進司</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地    址：</w:t>
                      </w:r>
                      <w:r w:rsidRPr="00950597">
                        <w:rPr>
                          <w:rFonts w:ascii="華康中黑體(P)" w:eastAsia="華康中黑體(P)" w:hAnsi="Arial" w:cs="Arial" w:hint="eastAsia"/>
                          <w:kern w:val="2"/>
                          <w:sz w:val="20"/>
                        </w:rPr>
                        <w:t>臺北市中正區愛國東路 82 號 3 樓</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電    話：+886-2-2389-2111</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傳    真：+886-2-2382-0497</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網    址：</w:t>
                      </w:r>
                      <w:r w:rsidRPr="00702447">
                        <w:rPr>
                          <w:rFonts w:ascii="華康中黑體(P)" w:eastAsia="華康中黑體(P)" w:hAnsi="Arial" w:cs="Arial"/>
                          <w:sz w:val="20"/>
                        </w:rPr>
                        <w:t>https://investtaiwan.nat.gov.tw/</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r w:rsidRPr="00B65EA8">
                        <w:rPr>
                          <w:rFonts w:ascii="華康中黑體(P)" w:eastAsia="華康中黑體(P)" w:hAnsi="Arial" w:cs="Arial"/>
                          <w:kern w:val="2"/>
                          <w:sz w:val="20"/>
                        </w:rPr>
                        <w:t>電子信箱：doi</w:t>
                      </w:r>
                      <w:r w:rsidR="003C04EF">
                        <w:rPr>
                          <w:rFonts w:ascii="華康中黑體(P)" w:eastAsia="華康中黑體(P)" w:hAnsi="Arial" w:cs="Arial" w:hint="eastAsia"/>
                          <w:kern w:val="2"/>
                          <w:sz w:val="20"/>
                        </w:rPr>
                        <w:t>s</w:t>
                      </w:r>
                      <w:r w:rsidRPr="00B65EA8">
                        <w:rPr>
                          <w:rFonts w:ascii="華康中黑體(P)" w:eastAsia="華康中黑體(P)" w:hAnsi="Arial" w:cs="Arial"/>
                          <w:kern w:val="2"/>
                          <w:sz w:val="20"/>
                        </w:rPr>
                        <w:t>@moea.gov.tw</w:t>
                      </w:r>
                    </w:p>
                    <w:p w:rsidR="005A5E4E" w:rsidRPr="00B65EA8"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p>
                    <w:p w:rsidR="005A5E4E" w:rsidRPr="003C04EF" w:rsidRDefault="005A5E4E" w:rsidP="00B65EA8">
                      <w:pPr>
                        <w:pBdr>
                          <w:top w:val="none" w:sz="0" w:space="0" w:color="auto"/>
                          <w:left w:val="none" w:sz="0" w:space="0" w:color="auto"/>
                          <w:bottom w:val="none" w:sz="0" w:space="0" w:color="auto"/>
                          <w:right w:val="none" w:sz="0" w:space="0" w:color="auto"/>
                        </w:pBdr>
                        <w:snapToGrid w:val="0"/>
                        <w:rPr>
                          <w:rFonts w:ascii="華康中黑體(P)" w:eastAsia="華康中黑體(P)" w:hAnsi="Arial" w:cs="Arial"/>
                          <w:kern w:val="2"/>
                          <w:sz w:val="20"/>
                        </w:rPr>
                      </w:pPr>
                      <w:bookmarkStart w:id="34" w:name="_GoBack"/>
                      <w:bookmarkEnd w:id="34"/>
                    </w:p>
                  </w:txbxContent>
                </v:textbox>
              </v:shape>
            </w:pict>
          </mc:Fallback>
        </mc:AlternateContent>
      </w:r>
      <w:r w:rsidRPr="001A0E92">
        <w:rPr>
          <w:noProof/>
          <w:lang w:val="en-US"/>
        </w:rPr>
        <w:drawing>
          <wp:anchor distT="0" distB="0" distL="0" distR="0" simplePos="0" relativeHeight="251656704" behindDoc="1" locked="0" layoutInCell="1" allowOverlap="1" wp14:anchorId="48576BC9" wp14:editId="5CCEDE74">
            <wp:simplePos x="0" y="0"/>
            <wp:positionH relativeFrom="column">
              <wp:posOffset>-1118235</wp:posOffset>
            </wp:positionH>
            <wp:positionV relativeFrom="paragraph">
              <wp:posOffset>-2015490</wp:posOffset>
            </wp:positionV>
            <wp:extent cx="7631430" cy="11354435"/>
            <wp:effectExtent l="0" t="0" r="7620" b="0"/>
            <wp:wrapNone/>
            <wp:docPr id="54"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631430" cy="11354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sectPr w:rsidR="00A80D41" w:rsidRPr="001A0E92" w:rsidSect="00D8781B">
      <w:headerReference w:type="even" r:id="rId73"/>
      <w:headerReference w:type="default" r:id="rId74"/>
      <w:footerReference w:type="even" r:id="rId75"/>
      <w:footerReference w:type="default" r:id="rId76"/>
      <w:headerReference w:type="first" r:id="rId77"/>
      <w:footerReference w:type="first" r:id="rId78"/>
      <w:pgSz w:w="11906" w:h="16838"/>
      <w:pgMar w:top="2268" w:right="1701" w:bottom="1701" w:left="1701" w:header="1134" w:footer="851" w:gutter="0"/>
      <w:pgNumType w:start="1"/>
      <w:cols w:space="720"/>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42157" w:rsidRDefault="00542157">
      <w:r>
        <w:separator/>
      </w:r>
    </w:p>
  </w:endnote>
  <w:endnote w:type="continuationSeparator" w:id="0">
    <w:p w:rsidR="00542157" w:rsidRDefault="005421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Liberation Sans">
    <w:panose1 w:val="020B0604020202020204"/>
    <w:charset w:val="00"/>
    <w:family w:val="swiss"/>
    <w:pitch w:val="variable"/>
    <w:sig w:usb0="E0000AFF" w:usb1="500078FF" w:usb2="00000021" w:usb3="00000000" w:csb0="000001BF" w:csb1="00000000"/>
  </w:font>
  <w:font w:name="微軟正黑體">
    <w:panose1 w:val="020B0604030504040204"/>
    <w:charset w:val="88"/>
    <w:family w:val="swiss"/>
    <w:pitch w:val="variable"/>
    <w:sig w:usb0="00000087" w:usb1="288F4000" w:usb2="00000016" w:usb3="00000000" w:csb0="00100009" w:csb1="00000000"/>
  </w:font>
  <w:font w:name="Tahoma">
    <w:panose1 w:val="020B0604030504040204"/>
    <w:charset w:val="00"/>
    <w:family w:val="swiss"/>
    <w:pitch w:val="variable"/>
    <w:sig w:usb0="E1002EFF" w:usb1="C000605B" w:usb2="00000029" w:usb3="00000000" w:csb0="000101F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華康粗圓體">
    <w:panose1 w:val="020F0709000000000000"/>
    <w:charset w:val="88"/>
    <w:family w:val="modern"/>
    <w:pitch w:val="fixed"/>
    <w:sig w:usb0="80000001" w:usb1="28091800" w:usb2="00000016" w:usb3="00000000" w:csb0="00100000"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華康中黑體">
    <w:panose1 w:val="020B05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8"/>
    <w:family w:val="swiss"/>
    <w:pitch w:val="variable"/>
    <w:sig w:usb0="F7FFAFFF" w:usb1="E9DFFFFF" w:usb2="0000003F" w:usb3="00000000" w:csb0="003F01FF" w:csb1="00000000"/>
  </w:font>
  <w:font w:name="華康中特圓體">
    <w:panose1 w:val="020F08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華康新特明體">
    <w:panose1 w:val="02020909000000000000"/>
    <w:charset w:val="88"/>
    <w:family w:val="modern"/>
    <w:pitch w:val="fixed"/>
    <w:sig w:usb0="80000001" w:usb1="28091800" w:usb2="00000016" w:usb3="00000000" w:csb0="00100000" w:csb1="00000000"/>
  </w:font>
  <w:font w:name="MS Mincho">
    <w:altName w:val="ＭＳ 明朝"/>
    <w:panose1 w:val="02020609040205080304"/>
    <w:charset w:val="80"/>
    <w:family w:val="modern"/>
    <w:pitch w:val="fixed"/>
    <w:sig w:usb0="A00002BF" w:usb1="68C7FCFB" w:usb2="00000010" w:usb3="00000000" w:csb0="0002009F"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rPr>
        <w:rFonts w:ascii="Footlight MT Light" w:hAnsi="Footlight MT Light"/>
        <w:i/>
        <w:iCs/>
        <w:sz w:val="32"/>
        <w:szCs w:val="32"/>
        <w:lang w:bidi="hi-I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25</w:t>
    </w:r>
    <w:r>
      <w:rPr>
        <w:rFonts w:ascii="Footlight MT Light" w:hAnsi="Footlight MT Light"/>
        <w:i/>
        <w:iCs/>
        <w:sz w:val="32"/>
        <w:szCs w:val="32"/>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34</w:t>
    </w:r>
    <w:r>
      <w:rPr>
        <w:rFonts w:ascii="Footlight MT Light" w:hAnsi="Footlight MT Light"/>
        <w:i/>
        <w:iCs/>
        <w:sz w:val="32"/>
        <w:szCs w:val="32"/>
        <w:lang w:bidi="hi-IN"/>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33</w:t>
    </w:r>
    <w:r>
      <w:rPr>
        <w:rFonts w:ascii="Footlight MT Light" w:hAnsi="Footlight MT Light"/>
        <w:i/>
        <w:iCs/>
        <w:sz w:val="32"/>
        <w:szCs w:val="32"/>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40</w:t>
    </w:r>
    <w:r>
      <w:rPr>
        <w:rFonts w:ascii="Footlight MT Light" w:hAnsi="Footlight MT Light"/>
        <w:i/>
        <w:iCs/>
        <w:sz w:val="32"/>
        <w:szCs w:val="32"/>
        <w:lang w:bidi="hi-IN"/>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39</w:t>
    </w:r>
    <w:r>
      <w:rPr>
        <w:rFonts w:ascii="Footlight MT Light" w:hAnsi="Footlight MT Light"/>
        <w:i/>
        <w:iCs/>
        <w:sz w:val="32"/>
        <w:szCs w:val="32"/>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46</w:t>
    </w:r>
    <w:r>
      <w:rPr>
        <w:rFonts w:ascii="Footlight MT Light" w:hAnsi="Footlight MT Light"/>
        <w:i/>
        <w:iCs/>
        <w:sz w:val="32"/>
        <w:szCs w:val="32"/>
        <w:lang w:bidi="hi-IN"/>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45</w:t>
    </w:r>
    <w:r>
      <w:rPr>
        <w:rFonts w:ascii="Footlight MT Light" w:hAnsi="Footlight MT Light"/>
        <w:i/>
        <w:iCs/>
        <w:sz w:val="32"/>
        <w:szCs w:val="32"/>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rPr>
        <w:rFonts w:ascii="Footlight MT Light" w:hAnsi="Footlight MT Light"/>
        <w:i/>
        <w:iCs/>
        <w:sz w:val="32"/>
        <w:szCs w:val="32"/>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54</w:t>
    </w:r>
    <w:r>
      <w:rPr>
        <w:rFonts w:ascii="Footlight MT Light" w:hAnsi="Footlight MT Light"/>
        <w:i/>
        <w:iCs/>
        <w:sz w:val="32"/>
        <w:szCs w:val="32"/>
        <w:lang w:bidi="hi-IN"/>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53</w:t>
    </w:r>
    <w:r>
      <w:rPr>
        <w:rFonts w:ascii="Footlight MT Light" w:hAnsi="Footlight MT Light"/>
        <w:i/>
        <w:iCs/>
        <w:sz w:val="32"/>
        <w:szCs w:val="32"/>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58</w:t>
    </w:r>
    <w:r>
      <w:rPr>
        <w:rFonts w:ascii="Footlight MT Light" w:hAnsi="Footlight MT Light"/>
        <w:i/>
        <w:iCs/>
        <w:sz w:val="32"/>
        <w:szCs w:val="32"/>
        <w:lang w:bidi="hi-IN"/>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57</w:t>
    </w:r>
    <w:r>
      <w:rPr>
        <w:rFonts w:ascii="Footlight MT Light" w:hAnsi="Footlight MT Light"/>
        <w:i/>
        <w:iCs/>
        <w:sz w:val="32"/>
        <w:szCs w:val="32"/>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62</w:t>
    </w:r>
    <w:r>
      <w:rPr>
        <w:rFonts w:ascii="Footlight MT Light" w:hAnsi="Footlight MT Light"/>
        <w:i/>
        <w:iCs/>
        <w:sz w:val="32"/>
        <w:szCs w:val="32"/>
        <w:lang w:bidi="hi-IN"/>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61</w:t>
    </w:r>
    <w:r>
      <w:rPr>
        <w:rFonts w:ascii="Footlight MT Light" w:hAnsi="Footlight MT Light"/>
        <w:i/>
        <w:iCs/>
        <w:sz w:val="32"/>
        <w:szCs w:val="32"/>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6"/>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64</w:t>
    </w:r>
    <w:r>
      <w:rPr>
        <w:rFonts w:ascii="Footlight MT Light" w:hAnsi="Footlight MT Light"/>
        <w:i/>
        <w:iCs/>
        <w:sz w:val="32"/>
        <w:szCs w:val="32"/>
        <w:lang w:bidi="hi-IN"/>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63</w:t>
    </w:r>
    <w:r>
      <w:rPr>
        <w:rFonts w:ascii="Footlight MT Light" w:hAnsi="Footlight MT Light"/>
        <w:i/>
        <w:iCs/>
        <w:sz w:val="32"/>
        <w:szCs w:val="32"/>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72</w:t>
    </w:r>
    <w:r>
      <w:rPr>
        <w:rFonts w:ascii="Footlight MT Light" w:hAnsi="Footlight MT Light"/>
        <w:i/>
        <w:iCs/>
        <w:sz w:val="32"/>
        <w:szCs w:val="32"/>
        <w:lang w:bidi="hi-IN"/>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71</w:t>
    </w:r>
    <w:r>
      <w:rPr>
        <w:rFonts w:ascii="Footlight MT Light" w:hAnsi="Footlight MT Light"/>
        <w:i/>
        <w:iCs/>
        <w:sz w:val="32"/>
        <w:szCs w:val="32"/>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rPr>
        <w:rFonts w:ascii="Footlight MT Light" w:hAnsi="Footlight MT Light"/>
        <w:i/>
        <w:iCs/>
        <w:sz w:val="32"/>
        <w:szCs w:val="32"/>
        <w:lang w:bidi="hi-IN"/>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rPr>
        <w:rFonts w:ascii="Footlight MT Light" w:hAnsi="Footlight MT Light"/>
        <w:i/>
        <w:iCs/>
        <w:sz w:val="32"/>
        <w:szCs w:val="3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rPr>
        <w:rFonts w:ascii="Footlight MT Light" w:hAnsi="Footlight MT Light"/>
        <w:i/>
        <w:iCs/>
        <w:sz w:val="32"/>
        <w:szCs w:val="3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2</w:t>
    </w:r>
    <w:r>
      <w:rPr>
        <w:rFonts w:ascii="Footlight MT Light" w:hAnsi="Footlight MT Light"/>
        <w:i/>
        <w:iCs/>
        <w:sz w:val="32"/>
        <w:szCs w:val="32"/>
        <w:lang w:bidi="hi-IN"/>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tabs>
        <w:tab w:val="clear" w:pos="4819"/>
        <w:tab w:val="clear" w:pos="9638"/>
        <w:tab w:val="center" w:pos="4680"/>
        <w:tab w:val="right" w:pos="9360"/>
      </w:tabs>
      <w:ind w:left="7800"/>
      <w:jc w:val="center"/>
    </w:pPr>
    <w:r>
      <w:rPr>
        <w:rFonts w:ascii="Footlight MT Light" w:hAnsi="Footlight MT Light"/>
        <w:i/>
        <w:iCs/>
        <w:sz w:val="32"/>
        <w:szCs w:val="32"/>
      </w:rPr>
      <w:fldChar w:fldCharType="begin"/>
    </w:r>
    <w:r>
      <w:rPr>
        <w:rFonts w:ascii="Footlight MT Light" w:hAnsi="Footlight MT Light"/>
        <w:i/>
        <w:iCs/>
        <w:sz w:val="32"/>
        <w:szCs w:val="32"/>
      </w:rPr>
      <w:instrText xml:space="preserve"> PAGE </w:instrText>
    </w:r>
    <w:r>
      <w:rPr>
        <w:rFonts w:ascii="Footlight MT Light" w:hAnsi="Footlight MT Light"/>
        <w:i/>
        <w:iCs/>
        <w:sz w:val="32"/>
        <w:szCs w:val="32"/>
      </w:rPr>
      <w:fldChar w:fldCharType="separate"/>
    </w:r>
    <w:r w:rsidR="009612A7">
      <w:rPr>
        <w:rFonts w:ascii="Footlight MT Light" w:hAnsi="Footlight MT Light"/>
        <w:i/>
        <w:iCs/>
        <w:noProof/>
        <w:sz w:val="32"/>
        <w:szCs w:val="32"/>
      </w:rPr>
      <w:t>1</w:t>
    </w:r>
    <w:r>
      <w:rPr>
        <w:rFonts w:ascii="Footlight MT Light" w:hAnsi="Footlight MT Light"/>
        <w:i/>
        <w:iCs/>
        <w:sz w:val="32"/>
        <w:szCs w:val="32"/>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ind w:right="7802"/>
      <w:jc w:val="center"/>
    </w:pPr>
    <w:r>
      <w:rPr>
        <w:rFonts w:ascii="Footlight MT Light" w:hAnsi="Footlight MT Light"/>
        <w:i/>
        <w:iCs/>
        <w:sz w:val="32"/>
        <w:szCs w:val="32"/>
        <w:lang w:bidi="hi-IN"/>
      </w:rPr>
      <w:fldChar w:fldCharType="begin"/>
    </w:r>
    <w:r>
      <w:rPr>
        <w:rFonts w:ascii="Footlight MT Light" w:hAnsi="Footlight MT Light"/>
        <w:i/>
        <w:iCs/>
        <w:sz w:val="32"/>
        <w:szCs w:val="32"/>
        <w:lang w:bidi="hi-IN"/>
      </w:rPr>
      <w:instrText xml:space="preserve"> PAGE </w:instrText>
    </w:r>
    <w:r>
      <w:rPr>
        <w:rFonts w:ascii="Footlight MT Light" w:hAnsi="Footlight MT Light"/>
        <w:i/>
        <w:iCs/>
        <w:sz w:val="32"/>
        <w:szCs w:val="32"/>
        <w:lang w:bidi="hi-IN"/>
      </w:rPr>
      <w:fldChar w:fldCharType="separate"/>
    </w:r>
    <w:r w:rsidR="009612A7">
      <w:rPr>
        <w:rFonts w:ascii="Footlight MT Light" w:hAnsi="Footlight MT Light"/>
        <w:i/>
        <w:iCs/>
        <w:noProof/>
        <w:sz w:val="32"/>
        <w:szCs w:val="32"/>
        <w:lang w:bidi="hi-IN"/>
      </w:rPr>
      <w:t>26</w:t>
    </w:r>
    <w:r>
      <w:rPr>
        <w:rFonts w:ascii="Footlight MT Light" w:hAnsi="Footlight MT Light"/>
        <w:i/>
        <w:iCs/>
        <w:sz w:val="32"/>
        <w:szCs w:val="32"/>
        <w:lang w:bidi="hi-I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42157" w:rsidRDefault="00542157" w:rsidP="00FF29F0">
      <w:pPr>
        <w:spacing w:beforeLines="100" w:before="240" w:afterLines="50" w:after="120"/>
      </w:pPr>
      <w:r>
        <w:separator/>
      </w:r>
    </w:p>
  </w:footnote>
  <w:footnote w:type="continuationSeparator" w:id="0">
    <w:p w:rsidR="00542157" w:rsidRDefault="00542157">
      <w:r>
        <w:continuationSeparator/>
      </w:r>
    </w:p>
  </w:footnote>
  <w:footnote w:id="1">
    <w:p w:rsidR="005A5E4E" w:rsidRDefault="005A5E4E" w:rsidP="004A569E">
      <w:pPr>
        <w:pStyle w:val="af4"/>
        <w:ind w:left="294" w:hanging="294"/>
      </w:pPr>
      <w:r>
        <w:rPr>
          <w:rStyle w:val="a9"/>
        </w:rPr>
        <w:footnoteRef/>
      </w:r>
      <w:r>
        <w:t xml:space="preserve"> </w:t>
      </w:r>
      <w:r>
        <w:t>匈牙利</w:t>
      </w:r>
      <w:r>
        <w:t>9%</w:t>
      </w:r>
      <w:r>
        <w:t>、波蘭</w:t>
      </w:r>
      <w:r>
        <w:t>19%</w:t>
      </w:r>
      <w:r>
        <w:t>、捷克</w:t>
      </w:r>
      <w:r>
        <w:t>19%</w:t>
      </w:r>
      <w:r>
        <w:t>。</w:t>
      </w:r>
    </w:p>
  </w:footnote>
  <w:footnote w:id="2">
    <w:p w:rsidR="005A5E4E" w:rsidRDefault="005A5E4E" w:rsidP="004A569E">
      <w:pPr>
        <w:pStyle w:val="af4"/>
        <w:ind w:left="294" w:hanging="294"/>
      </w:pPr>
      <w:r>
        <w:rPr>
          <w:rStyle w:val="a9"/>
        </w:rPr>
        <w:footnoteRef/>
      </w:r>
      <w:r>
        <w:tab/>
      </w:r>
      <w:r>
        <w:t>匈牙利</w:t>
      </w:r>
      <w:r>
        <w:t>9%</w:t>
      </w:r>
      <w:r>
        <w:t>、波蘭</w:t>
      </w:r>
      <w:r>
        <w:t>19%</w:t>
      </w:r>
      <w:r>
        <w:t>、捷克</w:t>
      </w:r>
      <w:r>
        <w:t>19%</w:t>
      </w:r>
      <w:r>
        <w:t>。</w:t>
      </w:r>
    </w:p>
  </w:footnote>
  <w:footnote w:id="3">
    <w:p w:rsidR="005A5E4E" w:rsidRDefault="005A5E4E" w:rsidP="004A569E">
      <w:pPr>
        <w:pStyle w:val="af4"/>
        <w:ind w:left="294" w:hanging="294"/>
      </w:pPr>
      <w:r>
        <w:rPr>
          <w:rStyle w:val="a9"/>
        </w:rPr>
        <w:footnoteRef/>
      </w:r>
      <w:r>
        <w:rPr>
          <w:rStyle w:val="a9"/>
          <w:color w:val="00000A"/>
          <w:sz w:val="24"/>
          <w:szCs w:val="24"/>
        </w:rPr>
        <w:tab/>
      </w:r>
      <w:r>
        <w:t>國人若擔任申設公司之首席執行董事者，須先取得斯國短期居留證明。</w:t>
      </w:r>
      <w:proofErr w:type="gramStart"/>
      <w:r>
        <w:t>如此申</w:t>
      </w:r>
      <w:proofErr w:type="gramEnd"/>
      <w:r>
        <w:t>設公司整體流程約需</w:t>
      </w:r>
      <w:r>
        <w:t>2</w:t>
      </w:r>
      <w:r>
        <w:t>至</w:t>
      </w:r>
      <w:r>
        <w:t>3</w:t>
      </w:r>
      <w:r>
        <w:t>個月。</w:t>
      </w:r>
    </w:p>
  </w:footnote>
  <w:footnote w:id="4">
    <w:p w:rsidR="005A5E4E" w:rsidRDefault="005A5E4E" w:rsidP="004A569E">
      <w:pPr>
        <w:pStyle w:val="af4"/>
        <w:ind w:left="294" w:hanging="294"/>
      </w:pPr>
      <w:r>
        <w:rPr>
          <w:rStyle w:val="a9"/>
        </w:rPr>
        <w:footnoteRef/>
      </w:r>
      <w:r>
        <w:rPr>
          <w:rStyle w:val="a9"/>
          <w:color w:val="00000A"/>
          <w:sz w:val="24"/>
          <w:szCs w:val="24"/>
        </w:rPr>
        <w:tab/>
      </w:r>
      <w:r>
        <w:t>依據「</w:t>
      </w:r>
      <w:r>
        <w:t>2007</w:t>
      </w:r>
      <w:r>
        <w:t>年至</w:t>
      </w:r>
      <w:r>
        <w:t>2013</w:t>
      </w:r>
      <w:r>
        <w:t>年歐盟國家區域補助指南」（</w:t>
      </w:r>
      <w:r>
        <w:t>Guidelines on national regional aid for 2007-2013</w:t>
      </w:r>
      <w:r>
        <w:t>）之規定，有形資產（</w:t>
      </w:r>
      <w:r>
        <w:t>tangible assets</w:t>
      </w:r>
      <w:r>
        <w:t>）係指土地、建物及機器設備。無形資產（</w:t>
      </w:r>
      <w:r>
        <w:t>intangible assets</w:t>
      </w:r>
      <w:r>
        <w:t>）則指經由取得專利、使用執照、製程或專技知識之技術移轉。</w:t>
      </w:r>
    </w:p>
  </w:footnote>
  <w:footnote w:id="5">
    <w:p w:rsidR="005A5E4E" w:rsidRDefault="005A5E4E" w:rsidP="004A569E">
      <w:pPr>
        <w:pStyle w:val="af4"/>
        <w:ind w:left="294" w:hanging="294"/>
      </w:pPr>
      <w:r>
        <w:rPr>
          <w:rStyle w:val="a9"/>
        </w:rPr>
        <w:footnoteRef/>
      </w:r>
      <w:r>
        <w:rPr>
          <w:rStyle w:val="a9"/>
          <w:color w:val="00000A"/>
          <w:sz w:val="24"/>
          <w:szCs w:val="24"/>
          <w:lang w:eastAsia="zh-CN"/>
        </w:rPr>
        <w:tab/>
      </w:r>
      <w:r>
        <w:t>倘股利所得來源非屬「避免雙重課稅締約國」登記之公司，則須課徵</w:t>
      </w:r>
      <w:r>
        <w:t>35%</w:t>
      </w:r>
      <w:r>
        <w:t>（</w:t>
      </w:r>
      <w:r>
        <w:t>if dividends are from foreig</w:t>
      </w:r>
      <w:r>
        <w:rPr>
          <w:sz w:val="22"/>
        </w:rPr>
        <w:t>n sources of non-contacting state</w:t>
      </w:r>
      <w:r>
        <w:rPr>
          <w:sz w:val="22"/>
        </w:rPr>
        <w:t>）。</w:t>
      </w:r>
    </w:p>
  </w:footnote>
  <w:footnote w:id="6">
    <w:p w:rsidR="005A5E4E" w:rsidRDefault="005A5E4E" w:rsidP="004A569E">
      <w:pPr>
        <w:pStyle w:val="af4"/>
        <w:ind w:left="294" w:hanging="294"/>
      </w:pPr>
      <w:r>
        <w:rPr>
          <w:rStyle w:val="a9"/>
        </w:rPr>
        <w:footnoteRef/>
      </w:r>
      <w:r>
        <w:rPr>
          <w:rStyle w:val="a9"/>
          <w:sz w:val="22"/>
        </w:rPr>
        <w:t xml:space="preserve"> </w:t>
      </w:r>
      <w:r>
        <w:rPr>
          <w:rStyle w:val="a9"/>
          <w:color w:val="00000A"/>
          <w:sz w:val="24"/>
          <w:szCs w:val="24"/>
          <w:lang w:eastAsia="zh-CN"/>
        </w:rPr>
        <w:tab/>
      </w:r>
      <w:hyperlink r:id="rId1" w:history="1">
        <w:r>
          <w:rPr>
            <w:rStyle w:val="a9"/>
            <w:sz w:val="32"/>
          </w:rPr>
          <w:t>https://taxsummaries.pwc.com/slovak-republic/individual/taxes-on-personal-income</w:t>
        </w:r>
      </w:hyperlink>
      <w:r>
        <w:rPr>
          <w:sz w:val="32"/>
        </w:rPr>
        <w:t xml:space="preserve"> </w:t>
      </w:r>
    </w:p>
  </w:footnote>
  <w:footnote w:id="7">
    <w:p w:rsidR="005A5E4E" w:rsidRDefault="005A5E4E" w:rsidP="004A569E">
      <w:pPr>
        <w:pStyle w:val="af4"/>
        <w:ind w:left="294" w:hanging="294"/>
      </w:pPr>
      <w:r>
        <w:rPr>
          <w:rStyle w:val="a9"/>
        </w:rPr>
        <w:footnoteRef/>
      </w:r>
      <w:r>
        <w:rPr>
          <w:rStyle w:val="a9"/>
          <w:color w:val="00000A"/>
          <w:sz w:val="24"/>
          <w:szCs w:val="24"/>
          <w:lang w:eastAsia="zh-CN"/>
        </w:rPr>
        <w:tab/>
      </w:r>
      <w:r>
        <w:t>倘股利所得來源非屬「避免雙重課稅締約國」登記之公司，則須課徵</w:t>
      </w:r>
      <w:r>
        <w:t>35%</w:t>
      </w:r>
      <w:r>
        <w:t>（</w:t>
      </w:r>
      <w:r>
        <w:t>if dividends are from foreign sources of non-contacting state</w:t>
      </w:r>
      <w:r>
        <w:t>）。</w:t>
      </w:r>
    </w:p>
  </w:footnote>
  <w:footnote w:id="8">
    <w:p w:rsidR="005A5E4E" w:rsidRDefault="005A5E4E" w:rsidP="004A569E">
      <w:pPr>
        <w:pStyle w:val="af4"/>
        <w:ind w:left="294" w:hanging="294"/>
      </w:pPr>
      <w:r>
        <w:rPr>
          <w:rStyle w:val="a9"/>
        </w:rPr>
        <w:footnoteRef/>
      </w:r>
      <w:r>
        <w:tab/>
        <w:t xml:space="preserve">https://www.nbs.sk/_img/documents/_legislativa/_basicacts/general_act_web.pdf </w:t>
      </w:r>
    </w:p>
  </w:footnote>
  <w:footnote w:id="9">
    <w:p w:rsidR="005A5E4E" w:rsidRDefault="005A5E4E" w:rsidP="004A569E">
      <w:pPr>
        <w:pStyle w:val="af4"/>
        <w:ind w:left="294" w:hanging="294"/>
      </w:pPr>
      <w:r>
        <w:rPr>
          <w:rStyle w:val="a9"/>
        </w:rPr>
        <w:footnoteRef/>
      </w:r>
      <w:r>
        <w:rPr>
          <w:rFonts w:hint="eastAsia"/>
        </w:rPr>
        <w:tab/>
      </w:r>
      <w:r w:rsidRPr="00715206">
        <w:t>https://www.sapi.sk/files/246_slovak-renewable-electricity-market-report-2022-finalpdf.pdf</w:t>
      </w:r>
      <w:r>
        <w:t xml:space="preserve"> </w:t>
      </w:r>
    </w:p>
  </w:footnote>
  <w:footnote w:id="10">
    <w:p w:rsidR="005A5E4E" w:rsidRDefault="005A5E4E" w:rsidP="004A569E">
      <w:pPr>
        <w:pStyle w:val="af4"/>
        <w:ind w:left="294" w:hanging="294"/>
      </w:pPr>
      <w:r>
        <w:rPr>
          <w:rStyle w:val="a9"/>
        </w:rPr>
        <w:footnoteRef/>
      </w:r>
      <w:r>
        <w:rPr>
          <w:rStyle w:val="a9"/>
          <w:color w:val="00000A"/>
          <w:sz w:val="24"/>
          <w:szCs w:val="24"/>
        </w:rPr>
        <w:tab/>
      </w:r>
      <w:r>
        <w:t>本（</w:t>
      </w:r>
      <w:r>
        <w:t>2011</w:t>
      </w:r>
      <w:r>
        <w:t>）年</w:t>
      </w:r>
      <w:r>
        <w:t>9</w:t>
      </w:r>
      <w:r>
        <w:t>月</w:t>
      </w:r>
      <w:r>
        <w:t>1</w:t>
      </w:r>
      <w:r>
        <w:t>日施行之斯國新勞工法主要內容包括引進彈性工時（</w:t>
      </w:r>
      <w:r>
        <w:t>flexi-account</w:t>
      </w:r>
      <w:r>
        <w:t>）、集體合約（</w:t>
      </w:r>
      <w:r>
        <w:t>collective agreement</w:t>
      </w:r>
      <w:r>
        <w:t>）涵蓋內容擴大、經理級人員聘僱試用期延長及依據受</w:t>
      </w:r>
      <w:proofErr w:type="gramStart"/>
      <w:r>
        <w:t>僱</w:t>
      </w:r>
      <w:proofErr w:type="gramEnd"/>
      <w:r>
        <w:t>年資調整解僱通知期限等。</w:t>
      </w:r>
    </w:p>
  </w:footnote>
  <w:footnote w:id="11">
    <w:p w:rsidR="005A5E4E" w:rsidRDefault="005A5E4E" w:rsidP="004A569E">
      <w:pPr>
        <w:pStyle w:val="af4"/>
        <w:ind w:left="294" w:hanging="294"/>
      </w:pPr>
      <w:r>
        <w:rPr>
          <w:rStyle w:val="a9"/>
        </w:rPr>
        <w:footnoteRef/>
      </w:r>
      <w:r>
        <w:rPr>
          <w:rStyle w:val="a9"/>
          <w:color w:val="00000A"/>
          <w:sz w:val="24"/>
          <w:szCs w:val="24"/>
        </w:rPr>
        <w:tab/>
      </w:r>
      <w:proofErr w:type="gramStart"/>
      <w:r>
        <w:t>惟</w:t>
      </w:r>
      <w:proofErr w:type="gramEnd"/>
      <w:r>
        <w:t>2010</w:t>
      </w:r>
      <w:r>
        <w:t>年</w:t>
      </w:r>
      <w:r>
        <w:t>6</w:t>
      </w:r>
      <w:r>
        <w:t>月韓商</w:t>
      </w:r>
      <w:r>
        <w:t>Yura Eltec</w:t>
      </w:r>
      <w:r>
        <w:t>位於斯南</w:t>
      </w:r>
      <w:r>
        <w:t>Rimavska Sobota</w:t>
      </w:r>
      <w:r>
        <w:t>之汽車線材廠卻爆發工會發動罷工圍廠事件，係近年來較大之工潮。</w:t>
      </w:r>
    </w:p>
  </w:footnote>
  <w:footnote w:id="12">
    <w:p w:rsidR="005A5E4E" w:rsidRDefault="005A5E4E" w:rsidP="004A569E">
      <w:pPr>
        <w:pStyle w:val="af4"/>
        <w:ind w:left="294" w:hanging="294"/>
      </w:pPr>
      <w:r>
        <w:rPr>
          <w:rStyle w:val="a9"/>
        </w:rPr>
        <w:footnoteRef/>
      </w:r>
      <w:r>
        <w:rPr>
          <w:rStyle w:val="a9"/>
          <w:color w:val="00000A"/>
          <w:sz w:val="24"/>
          <w:szCs w:val="24"/>
        </w:rPr>
        <w:tab/>
      </w:r>
      <w:r>
        <w:t>自</w:t>
      </w:r>
      <w:r>
        <w:t>2017</w:t>
      </w:r>
      <w:r>
        <w:t>年</w:t>
      </w:r>
      <w:r>
        <w:t>1</w:t>
      </w:r>
      <w:r>
        <w:t>月</w:t>
      </w:r>
      <w:r>
        <w:t>1</w:t>
      </w:r>
      <w:r>
        <w:t>日起，醫療保險上限金額為</w:t>
      </w:r>
      <w:r>
        <w:t>52,980</w:t>
      </w:r>
      <w:r>
        <w:t>歐元。</w:t>
      </w:r>
    </w:p>
  </w:footnote>
  <w:footnote w:id="13">
    <w:p w:rsidR="005A5E4E" w:rsidRDefault="005A5E4E" w:rsidP="004A569E">
      <w:pPr>
        <w:pStyle w:val="af4"/>
        <w:ind w:left="294" w:hanging="294"/>
      </w:pPr>
      <w:r>
        <w:rPr>
          <w:rStyle w:val="a9"/>
        </w:rPr>
        <w:footnoteRef/>
      </w:r>
      <w:r>
        <w:t xml:space="preserve"> </w:t>
      </w:r>
      <w:r>
        <w:t>美國國際學校網站</w:t>
      </w:r>
      <w:r>
        <w:t xml:space="preserve">: </w:t>
      </w:r>
      <w:r w:rsidRPr="005F3803">
        <w:t>https://bratislava.qsi.org/</w:t>
      </w:r>
      <w:r>
        <w:t xml:space="preserve"> </w:t>
      </w:r>
    </w:p>
  </w:footnote>
  <w:footnote w:id="14">
    <w:p w:rsidR="005A5E4E" w:rsidRDefault="005A5E4E" w:rsidP="005F3803">
      <w:pPr>
        <w:pStyle w:val="af4"/>
        <w:kinsoku w:val="0"/>
        <w:wordWrap w:val="0"/>
        <w:ind w:left="294" w:hanging="294"/>
      </w:pPr>
      <w:r>
        <w:rPr>
          <w:rStyle w:val="a9"/>
        </w:rPr>
        <w:footnoteRef/>
      </w:r>
      <w:r>
        <w:rPr>
          <w:rFonts w:hint="eastAsia"/>
        </w:rPr>
        <w:tab/>
      </w:r>
      <w:r>
        <w:t>英國國際學校網站</w:t>
      </w:r>
      <w:r w:rsidR="00762D61">
        <w:t>:</w:t>
      </w:r>
      <w:r>
        <w:t>:</w:t>
      </w:r>
      <w:r w:rsidRPr="005F3803">
        <w:t>https://www.nordangliaeducation.com/bisb-bratislava/campaign-ppc-1?&amp;infinity=ict2~net~gaw~cmp~18346798014~ag~141595686899~ar~622100095572~kw~british%20international%20school%20bratislava~mt~e~acr~1822008966&amp;gclid=Cj0KCQjwr82iBhCuARIsAO0EAZw42Q0oeCDt2JtVLj8LYffHdrTCiwm8ggXMqOg00tPn1eOe0o9P5foaAoKgEALw_wcB&amp;gclsrc=aw.ds</w:t>
      </w:r>
      <w:r>
        <w:t xml:space="preserve"> </w:t>
      </w:r>
    </w:p>
  </w:footnote>
  <w:footnote w:id="15">
    <w:p w:rsidR="005A5E4E" w:rsidRDefault="005A5E4E" w:rsidP="004A569E">
      <w:pPr>
        <w:pStyle w:val="af4"/>
        <w:ind w:left="294" w:hanging="294"/>
      </w:pPr>
      <w:r>
        <w:rPr>
          <w:rStyle w:val="a9"/>
        </w:rPr>
        <w:footnoteRef/>
      </w:r>
      <w:r>
        <w:rPr>
          <w:rFonts w:hint="eastAsia"/>
        </w:rPr>
        <w:tab/>
      </w:r>
      <w:r>
        <w:t>麗</w:t>
      </w:r>
      <w:proofErr w:type="gramStart"/>
      <w:r>
        <w:t>芙</w:t>
      </w:r>
      <w:proofErr w:type="gramEnd"/>
      <w:r>
        <w:t>國際學校網站</w:t>
      </w:r>
      <w:r>
        <w:t xml:space="preserve">: </w:t>
      </w:r>
      <w:r w:rsidRPr="005F3803">
        <w:t>www.leafacademy.eu</w:t>
      </w:r>
      <w:r>
        <w:t xml:space="preserve"> </w:t>
      </w:r>
    </w:p>
  </w:footnote>
  <w:footnote w:id="16">
    <w:p w:rsidR="005A5E4E" w:rsidRDefault="005A5E4E" w:rsidP="005F3803">
      <w:pPr>
        <w:pStyle w:val="af4"/>
        <w:kinsoku w:val="0"/>
        <w:wordWrap w:val="0"/>
        <w:ind w:left="294" w:hanging="294"/>
      </w:pPr>
      <w:r>
        <w:rPr>
          <w:rStyle w:val="a9"/>
        </w:rPr>
        <w:footnoteRef/>
      </w:r>
      <w:r>
        <w:rPr>
          <w:rFonts w:hint="eastAsia"/>
        </w:rPr>
        <w:tab/>
      </w:r>
      <w:r>
        <w:t>佛</w:t>
      </w:r>
      <w:proofErr w:type="gramStart"/>
      <w:r>
        <w:t>睿</w:t>
      </w:r>
      <w:proofErr w:type="gramEnd"/>
      <w:r>
        <w:t>爾國際學校網站</w:t>
      </w:r>
      <w:r>
        <w:t xml:space="preserve">: </w:t>
      </w:r>
      <w:r w:rsidRPr="005F3803">
        <w:t>http://www.internationalschoolguide.com/slovakia/forel_international_school.htm</w:t>
      </w: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61312" behindDoc="1" locked="0" layoutInCell="1" allowOverlap="1" wp14:anchorId="092543D4" wp14:editId="75A7D5A2">
              <wp:simplePos x="0" y="0"/>
              <wp:positionH relativeFrom="column">
                <wp:posOffset>3081020</wp:posOffset>
              </wp:positionH>
              <wp:positionV relativeFrom="paragraph">
                <wp:posOffset>35560</wp:posOffset>
              </wp:positionV>
              <wp:extent cx="2339975" cy="113665"/>
              <wp:effectExtent l="0" t="3175" r="4445" b="0"/>
              <wp:wrapNone/>
              <wp:docPr id="3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28" o:spid="_x0000_s1026" style="position:absolute;margin-left:242.6pt;margin-top:2.8pt;width:184.25pt;height:8.95pt;z-index:-251655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" path="m,l21600,r,21600l,21600,,xe" fillcolor="silver" stroked="f" strokecolor="#385d8a" strokeweight=".71mm">
              <v:path o:connecttype="custom" o:connectlocs="0,0;2339975,0;2339975,113665;0,113665" o:connectangles="0,0,0,0"/>
            </v:shape>
          </w:pict>
        </mc:Fallback>
      </mc:AlternateContent>
    </w:r>
    <w:r>
      <w:rPr>
        <w:noProof/>
        <w:lang w:val="en-US"/>
      </w:rPr>
      <mc:AlternateContent>
        <mc:Choice Requires="wps">
          <w:drawing>
            <wp:anchor distT="0" distB="0" distL="114300" distR="114300" simplePos="0" relativeHeight="251662336" behindDoc="1" locked="0" layoutInCell="1" allowOverlap="1" wp14:anchorId="42BB9BD7" wp14:editId="325667D7">
              <wp:simplePos x="0" y="0"/>
              <wp:positionH relativeFrom="column">
                <wp:posOffset>-13335</wp:posOffset>
              </wp:positionH>
              <wp:positionV relativeFrom="paragraph">
                <wp:posOffset>-78740</wp:posOffset>
              </wp:positionV>
              <wp:extent cx="3090545" cy="337820"/>
              <wp:effectExtent l="9525" t="31750" r="5080" b="40005"/>
              <wp:wrapNone/>
              <wp:docPr id="37"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90545" cy="337820"/>
                      </a:xfrm>
                      <a:custGeom>
                        <a:avLst/>
                        <a:gdLst>
                          <a:gd name="G0" fmla="+- 2433 0 0"/>
                          <a:gd name="G1" fmla="+- 4867 0 0"/>
                          <a:gd name="G2" fmla="+- 266 0 0"/>
                          <a:gd name="G3" fmla="+- 533 0 0"/>
                          <a:gd name="G4" fmla="+- G3 0 G2"/>
                          <a:gd name="G5" fmla="+- G1 0 G0"/>
                          <a:gd name="G6" fmla="*/ G5 1 4867"/>
                          <a:gd name="G7" fmla="*/ G4 1 533"/>
                          <a:gd name="G8" fmla="*/ 0 G5 1"/>
                          <a:gd name="G9" fmla="*/ G8 1 4867"/>
                          <a:gd name="G10" fmla="*/ 262 G4 1"/>
                          <a:gd name="G11" fmla="*/ G10 1 533"/>
                          <a:gd name="G12" fmla="*/ 2731 G5 1"/>
                          <a:gd name="G13" fmla="*/ G12 1 4867"/>
                          <a:gd name="G14" fmla="*/ 266 G4 1"/>
                          <a:gd name="G15" fmla="*/ G14 1 533"/>
                          <a:gd name="G16" fmla="*/ 2841 G5 1"/>
                          <a:gd name="G17" fmla="*/ G16 1 4867"/>
                          <a:gd name="G18" fmla="*/ 96 G4 1"/>
                          <a:gd name="G19" fmla="*/ G18 1 533"/>
                          <a:gd name="G20" fmla="*/ 2924 G5 1"/>
                          <a:gd name="G21" fmla="*/ G20 1 4867"/>
                          <a:gd name="G22" fmla="*/ 478 G4 1"/>
                          <a:gd name="G23" fmla="*/ G22 1 533"/>
                          <a:gd name="G24" fmla="*/ 3028 G5 1"/>
                          <a:gd name="G25" fmla="*/ G24 1 4867"/>
                          <a:gd name="G26" fmla="*/ 82 G4 1"/>
                          <a:gd name="G27" fmla="*/ G26 1 533"/>
                          <a:gd name="G28" fmla="*/ 3146 G5 1"/>
                          <a:gd name="G29" fmla="*/ G28 1 4867"/>
                          <a:gd name="G30" fmla="*/ 362 G4 1"/>
                          <a:gd name="G31" fmla="*/ G30 1 533"/>
                          <a:gd name="G32" fmla="*/ 3222 G5 1"/>
                          <a:gd name="G33" fmla="*/ G32 1 4867"/>
                          <a:gd name="G34" fmla="*/ 0 G4 1"/>
                          <a:gd name="G35" fmla="*/ G34 1 533"/>
                          <a:gd name="G36" fmla="*/ 3318 G5 1"/>
                          <a:gd name="G37" fmla="*/ G36 1 4867"/>
                          <a:gd name="G38" fmla="*/ 533 G4 1"/>
                          <a:gd name="G39" fmla="*/ G38 1 533"/>
                          <a:gd name="G40" fmla="*/ 3381 G5 1"/>
                          <a:gd name="G41" fmla="*/ G40 1 4867"/>
                          <a:gd name="G42" fmla="*/ 157 G4 1"/>
                          <a:gd name="G43" fmla="*/ G42 1 533"/>
                          <a:gd name="G44" fmla="*/ 3505 G5 1"/>
                          <a:gd name="G45" fmla="*/ G44 1 4867"/>
                          <a:gd name="G46" fmla="*/ 410 G4 1"/>
                          <a:gd name="G47" fmla="*/ G46 1 533"/>
                          <a:gd name="G48" fmla="*/ 3643 G5 1"/>
                          <a:gd name="G49" fmla="*/ G48 1 4867"/>
                          <a:gd name="G50" fmla="*/ 34 G4 1"/>
                          <a:gd name="G51" fmla="*/ G50 1 533"/>
                          <a:gd name="G52" fmla="*/ 3699 G5 1"/>
                          <a:gd name="G53" fmla="*/ G52 1 4867"/>
                          <a:gd name="G54" fmla="*/ 4867 G5 1"/>
                          <a:gd name="G55" fmla="*/ G54 1 4867"/>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 name="T26" fmla="*/ G83 w 4867"/>
                          <a:gd name="T27" fmla="*/ G85 h 533"/>
                          <a:gd name="T28" fmla="*/ G84 w 4867"/>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0" o:spid="_x0000_s1026" style="position:absolute;margin-left:-1.05pt;margin-top:-6.2pt;width:243.35pt;height:26.6pt;z-index:-251654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" path="m,262r2731,4l2841,96r83,382l3028,82r118,280l3222,r96,533l3381,157r124,253l3643,34r56,232l4867,269e" filled="f" strokeweight=".26mm">
              <v:path o:connecttype="custom" o:connectlocs="0,166058;1734185,168593;1804035,60846;1856740,302961;1922780,51972;1997710,229439;2045970,0;2106930,337820;2146935,99508;2225675,259862;2313305,21549;2348865,168593;3090545,170495" o:connectangles="0,0,0,0,0,0,0,0,0,0,0,0,0" textboxrect="0,0,9732,1064"/>
            </v:shape>
          </w:pict>
        </mc:Fallback>
      </mc:AlternateContent>
    </w:r>
    <w:r>
      <w:rPr>
        <w:noProof/>
        <w:lang w:val="en-US"/>
      </w:rPr>
      <mc:AlternateContent>
        <mc:Choice Requires="wps">
          <w:drawing>
            <wp:anchor distT="0" distB="0" distL="0" distR="0" simplePos="0" relativeHeight="251674624" behindDoc="0" locked="0" layoutInCell="1" allowOverlap="1" wp14:anchorId="37DA69B0" wp14:editId="511562D2">
              <wp:simplePos x="0" y="0"/>
              <wp:positionH relativeFrom="column">
                <wp:posOffset>3133090</wp:posOffset>
              </wp:positionH>
              <wp:positionV relativeFrom="paragraph">
                <wp:posOffset>-50165</wp:posOffset>
              </wp:positionV>
              <wp:extent cx="2258060" cy="197485"/>
              <wp:effectExtent l="3175" t="3175" r="5715" b="8890"/>
              <wp:wrapNone/>
              <wp:docPr id="36"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060"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distribute"/>
                          </w:pPr>
                          <w:r>
                            <w:rPr>
                              <w:rFonts w:ascii="華康超黑體" w:eastAsia="華康超黑體" w:hAnsi="華康超黑體"/>
                            </w:rPr>
                            <w:t>外商在當地經營現況及投資機會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032" type="#_x0000_t202" style="position:absolute;left:0;text-align:left;margin-left:246.7pt;margin-top:-3.95pt;width:177.8pt;height:15.55pt;z-index:25167462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" stroked="f">
              <v:fill opacity="0"/>
              <v:textbox inset="0,0,0,0">
                <w:txbxContent>
                  <w:p w:rsidR="005A5E4E" w:rsidRDefault="005A5E4E" w:rsidP="009E009F">
                    <w:pPr>
                      <w:pStyle w:val="a0"/>
                      <w:snapToGrid w:val="0"/>
                      <w:ind w:firstLineChars="0" w:firstLine="0"/>
                      <w:jc w:val="distribute"/>
                    </w:pPr>
                    <w:r>
                      <w:rPr>
                        <w:rFonts w:ascii="華康超黑體" w:eastAsia="華康超黑體" w:hAnsi="華康超黑體"/>
                      </w:rPr>
                      <w:t>外商在當地經營現況及投資機會</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0" distR="0" simplePos="0" relativeHeight="251656192" behindDoc="0" locked="0" layoutInCell="1" allowOverlap="1" wp14:anchorId="6405C10D" wp14:editId="4BCC00A4">
              <wp:simplePos x="0" y="0"/>
              <wp:positionH relativeFrom="column">
                <wp:posOffset>3770630</wp:posOffset>
              </wp:positionH>
              <wp:positionV relativeFrom="paragraph">
                <wp:posOffset>-67310</wp:posOffset>
              </wp:positionV>
              <wp:extent cx="1589405" cy="197485"/>
              <wp:effectExtent l="2540" t="5080" r="8255" b="6985"/>
              <wp:wrapNone/>
              <wp:docPr id="33"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distribute"/>
                          </w:pPr>
                          <w:r>
                            <w:rPr>
                              <w:rFonts w:ascii="華康超黑體" w:eastAsia="華康超黑體" w:hAnsi="華康超黑體"/>
                            </w:rPr>
                            <w:t>投資法規及程序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1" o:spid="_x0000_s1033" type="#_x0000_t202" style="position:absolute;left:0;text-align:left;margin-left:296.9pt;margin-top:-5.3pt;width:125.15pt;height:15.55pt;z-index:25165619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" stroked="f">
              <v:fill opacity="0"/>
              <v:textbox inset="0,0,0,0">
                <w:txbxContent>
                  <w:p w:rsidR="005A5E4E" w:rsidRDefault="005A5E4E" w:rsidP="009E009F">
                    <w:pPr>
                      <w:pStyle w:val="a0"/>
                      <w:snapToGrid w:val="0"/>
                      <w:ind w:firstLineChars="0" w:firstLine="0"/>
                      <w:jc w:val="distribute"/>
                    </w:pPr>
                    <w:r>
                      <w:rPr>
                        <w:rFonts w:ascii="華康超黑體" w:eastAsia="華康超黑體" w:hAnsi="華康超黑體"/>
                      </w:rPr>
                      <w:t>投資法規及程序</w:t>
                    </w:r>
                  </w:p>
                </w:txbxContent>
              </v:textbox>
            </v:shape>
          </w:pict>
        </mc:Fallback>
      </mc:AlternateContent>
    </w:r>
    <w:r>
      <w:rPr>
        <w:noProof/>
        <w:lang w:val="en-US"/>
      </w:rPr>
      <mc:AlternateContent>
        <mc:Choice Requires="wps">
          <w:drawing>
            <wp:anchor distT="0" distB="0" distL="114300" distR="114300" simplePos="0" relativeHeight="251657216" behindDoc="1" locked="0" layoutInCell="1" allowOverlap="1" wp14:anchorId="6C416326" wp14:editId="2385A543">
              <wp:simplePos x="0" y="0"/>
              <wp:positionH relativeFrom="column">
                <wp:posOffset>3710940</wp:posOffset>
              </wp:positionH>
              <wp:positionV relativeFrom="paragraph">
                <wp:posOffset>18415</wp:posOffset>
              </wp:positionV>
              <wp:extent cx="1714500" cy="113665"/>
              <wp:effectExtent l="0" t="0" r="0" b="0"/>
              <wp:wrapNone/>
              <wp:docPr id="32"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22" o:spid="_x0000_s1026" style="position:absolute;margin-left:292.2pt;margin-top:1.45pt;width:135pt;height:8.9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114300" distR="114300" simplePos="0" relativeHeight="251659264" behindDoc="1" locked="0" layoutInCell="1" allowOverlap="1" wp14:anchorId="5921C9F0" wp14:editId="004CEAC9">
              <wp:simplePos x="0" y="0"/>
              <wp:positionH relativeFrom="column">
                <wp:posOffset>0</wp:posOffset>
              </wp:positionH>
              <wp:positionV relativeFrom="paragraph">
                <wp:posOffset>-95885</wp:posOffset>
              </wp:positionV>
              <wp:extent cx="3707130" cy="337820"/>
              <wp:effectExtent l="13335" t="33655" r="13335" b="38100"/>
              <wp:wrapNone/>
              <wp:docPr id="31" name="Freeform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4" o:spid="_x0000_s1026" style="position:absolute;margin-left:0;margin-top:-7.55pt;width:291.9pt;height:26.6pt;z-index:-2516572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46976" behindDoc="1" locked="0" layoutInCell="1" allowOverlap="1" wp14:anchorId="08EA3B43" wp14:editId="1CF01F08">
              <wp:simplePos x="0" y="0"/>
              <wp:positionH relativeFrom="column">
                <wp:posOffset>3710940</wp:posOffset>
              </wp:positionH>
              <wp:positionV relativeFrom="paragraph">
                <wp:posOffset>18415</wp:posOffset>
              </wp:positionV>
              <wp:extent cx="1714500" cy="113665"/>
              <wp:effectExtent l="0" t="0" r="0" b="0"/>
              <wp:wrapNone/>
              <wp:docPr id="28"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19" o:spid="_x0000_s1026" style="position:absolute;margin-left:292.2pt;margin-top:1.45pt;width:135pt;height:8.9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114300" distR="114300" simplePos="0" relativeHeight="251649024" behindDoc="1" locked="0" layoutInCell="1" allowOverlap="1" wp14:anchorId="42E33765" wp14:editId="21D0EE17">
              <wp:simplePos x="0" y="0"/>
              <wp:positionH relativeFrom="column">
                <wp:posOffset>0</wp:posOffset>
              </wp:positionH>
              <wp:positionV relativeFrom="paragraph">
                <wp:posOffset>-95885</wp:posOffset>
              </wp:positionV>
              <wp:extent cx="3707130" cy="337820"/>
              <wp:effectExtent l="13335" t="33655" r="13335" b="38100"/>
              <wp:wrapNone/>
              <wp:docPr id="27" name="Freeform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21" o:spid="_x0000_s1026" style="position:absolute;margin-left:0;margin-top:-7.55pt;width:291.9pt;height:26.6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val="en-US"/>
      </w:rPr>
      <mc:AlternateContent>
        <mc:Choice Requires="wps">
          <w:drawing>
            <wp:anchor distT="0" distB="0" distL="0" distR="0" simplePos="0" relativeHeight="251658240" behindDoc="0" locked="0" layoutInCell="1" allowOverlap="1" wp14:anchorId="674ABE5F" wp14:editId="3976306F">
              <wp:simplePos x="0" y="0"/>
              <wp:positionH relativeFrom="column">
                <wp:posOffset>3770630</wp:posOffset>
              </wp:positionH>
              <wp:positionV relativeFrom="paragraph">
                <wp:posOffset>-67310</wp:posOffset>
              </wp:positionV>
              <wp:extent cx="1589405" cy="197485"/>
              <wp:effectExtent l="2540" t="5080" r="8255" b="6985"/>
              <wp:wrapNone/>
              <wp:docPr id="2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distribute"/>
                          </w:pPr>
                          <w:r>
                            <w:rPr>
                              <w:rFonts w:ascii="華康超黑體" w:eastAsia="華康超黑體" w:hAnsi="華康超黑體"/>
                            </w:rPr>
                            <w:t>租稅及金融制度</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034" type="#_x0000_t202" style="position:absolute;left:0;text-align:left;margin-left:296.9pt;margin-top:-5.3pt;width:125.15pt;height:15.55pt;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" stroked="f">
              <v:fill opacity="0"/>
              <v:textbox inset="0,0,0,0">
                <w:txbxContent>
                  <w:p w:rsidR="005A5E4E" w:rsidRDefault="005A5E4E" w:rsidP="009E009F">
                    <w:pPr>
                      <w:pStyle w:val="a0"/>
                      <w:snapToGrid w:val="0"/>
                      <w:ind w:firstLineChars="0" w:firstLine="0"/>
                      <w:jc w:val="distribute"/>
                    </w:pPr>
                    <w:r>
                      <w:rPr>
                        <w:rFonts w:ascii="華康超黑體" w:eastAsia="華康超黑體" w:hAnsi="華康超黑體"/>
                      </w:rPr>
                      <w:t>租稅及金融制度</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64384" behindDoc="1" locked="0" layoutInCell="1" allowOverlap="1" wp14:anchorId="2890F5AC" wp14:editId="5C2D805B">
              <wp:simplePos x="0" y="0"/>
              <wp:positionH relativeFrom="column">
                <wp:posOffset>3710940</wp:posOffset>
              </wp:positionH>
              <wp:positionV relativeFrom="paragraph">
                <wp:posOffset>18415</wp:posOffset>
              </wp:positionV>
              <wp:extent cx="1714500" cy="113665"/>
              <wp:effectExtent l="0" t="0" r="0" b="0"/>
              <wp:wrapNone/>
              <wp:docPr id="23" name="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31" o:spid="_x0000_s1026" style="position:absolute;margin-left:292.2pt;margin-top:1.45pt;width:135pt;height:8.95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114300" distR="114300" simplePos="0" relativeHeight="251667456" behindDoc="1" locked="0" layoutInCell="1" allowOverlap="1" wp14:anchorId="58A1F7BA" wp14:editId="58A97E26">
              <wp:simplePos x="0" y="0"/>
              <wp:positionH relativeFrom="column">
                <wp:posOffset>0</wp:posOffset>
              </wp:positionH>
              <wp:positionV relativeFrom="paragraph">
                <wp:posOffset>-95885</wp:posOffset>
              </wp:positionV>
              <wp:extent cx="3707130" cy="337820"/>
              <wp:effectExtent l="13335" t="33655" r="13335" b="38100"/>
              <wp:wrapNone/>
              <wp:docPr id="22" name="Freeform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3" o:spid="_x0000_s1026" style="position:absolute;margin-left:0;margin-top:-7.55pt;width:291.9pt;height:26.6pt;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val="en-US"/>
      </w:rPr>
      <mc:AlternateContent>
        <mc:Choice Requires="wps">
          <w:drawing>
            <wp:anchor distT="0" distB="0" distL="0" distR="0" simplePos="0" relativeHeight="251670528" behindDoc="0" locked="0" layoutInCell="1" allowOverlap="1" wp14:anchorId="79596100" wp14:editId="74EB3E19">
              <wp:simplePos x="0" y="0"/>
              <wp:positionH relativeFrom="column">
                <wp:posOffset>3770630</wp:posOffset>
              </wp:positionH>
              <wp:positionV relativeFrom="paragraph">
                <wp:posOffset>-67310</wp:posOffset>
              </wp:positionV>
              <wp:extent cx="1589405" cy="197485"/>
              <wp:effectExtent l="2540" t="5080" r="8255" b="6985"/>
              <wp:wrapNone/>
              <wp:docPr id="2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distribute"/>
                          </w:pPr>
                          <w:r>
                            <w:rPr>
                              <w:rFonts w:ascii="華康超黑體" w:eastAsia="華康超黑體" w:hAnsi="華康超黑體"/>
                            </w:rPr>
                            <w:t>基礎建設及成本</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035" type="#_x0000_t202" style="position:absolute;left:0;text-align:left;margin-left:296.9pt;margin-top:-5.3pt;width:125.15pt;height:15.55pt;z-index:25167052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" stroked="f">
              <v:fill opacity="0"/>
              <v:textbox inset="0,0,0,0">
                <w:txbxContent>
                  <w:p w:rsidR="005A5E4E" w:rsidRDefault="005A5E4E" w:rsidP="009E009F">
                    <w:pPr>
                      <w:pStyle w:val="a0"/>
                      <w:snapToGrid w:val="0"/>
                      <w:ind w:firstLineChars="0" w:firstLine="0"/>
                      <w:jc w:val="distribute"/>
                    </w:pPr>
                    <w:r>
                      <w:rPr>
                        <w:rFonts w:ascii="華康超黑體" w:eastAsia="華康超黑體" w:hAnsi="華康超黑體"/>
                      </w:rPr>
                      <w:t>基礎建設及成本</w:t>
                    </w:r>
                  </w:p>
                </w:txbxContent>
              </v:textbox>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63360" behindDoc="1" locked="0" layoutInCell="1" allowOverlap="1" wp14:anchorId="56921895" wp14:editId="3DC5F900">
              <wp:simplePos x="0" y="0"/>
              <wp:positionH relativeFrom="column">
                <wp:posOffset>3710940</wp:posOffset>
              </wp:positionH>
              <wp:positionV relativeFrom="paragraph">
                <wp:posOffset>18415</wp:posOffset>
              </wp:positionV>
              <wp:extent cx="1714500" cy="113665"/>
              <wp:effectExtent l="0" t="0" r="0" b="0"/>
              <wp:wrapNone/>
              <wp:docPr id="18"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37" o:spid="_x0000_s1026" style="position:absolute;margin-left:292.2pt;margin-top:1.45pt;width:135pt;height:8.95pt;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114300" distR="114300" simplePos="0" relativeHeight="251665408" behindDoc="1" locked="0" layoutInCell="1" allowOverlap="1" wp14:anchorId="6EEE4BEA" wp14:editId="46E344D2">
              <wp:simplePos x="0" y="0"/>
              <wp:positionH relativeFrom="column">
                <wp:posOffset>0</wp:posOffset>
              </wp:positionH>
              <wp:positionV relativeFrom="paragraph">
                <wp:posOffset>-95885</wp:posOffset>
              </wp:positionV>
              <wp:extent cx="3707130" cy="337820"/>
              <wp:effectExtent l="13335" t="33655" r="13335" b="38100"/>
              <wp:wrapNone/>
              <wp:docPr id="17"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9" o:spid="_x0000_s1026" style="position:absolute;margin-left:0;margin-top:-7.55pt;width:291.9pt;height:26.6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val="en-US"/>
      </w:rPr>
      <mc:AlternateContent>
        <mc:Choice Requires="wps">
          <w:drawing>
            <wp:anchor distT="0" distB="0" distL="0" distR="0" simplePos="0" relativeHeight="251672576" behindDoc="0" locked="0" layoutInCell="1" allowOverlap="1" wp14:anchorId="17D40D06" wp14:editId="3D0465C3">
              <wp:simplePos x="0" y="0"/>
              <wp:positionH relativeFrom="column">
                <wp:posOffset>3770630</wp:posOffset>
              </wp:positionH>
              <wp:positionV relativeFrom="paragraph">
                <wp:posOffset>-67310</wp:posOffset>
              </wp:positionV>
              <wp:extent cx="1589405" cy="197485"/>
              <wp:effectExtent l="2540" t="5080" r="8255" b="6985"/>
              <wp:wrapNone/>
              <wp:docPr id="1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center"/>
                          </w:pPr>
                          <w:proofErr w:type="gramStart"/>
                          <w:r>
                            <w:rPr>
                              <w:rFonts w:ascii="華康超黑體" w:eastAsia="華康超黑體" w:hAnsi="華康超黑體"/>
                            </w:rPr>
                            <w:t>勞</w:t>
                          </w:r>
                          <w:proofErr w:type="gramEnd"/>
                          <w:r>
                            <w:rPr>
                              <w:rFonts w:ascii="華康超黑體" w:eastAsia="華康超黑體" w:hAnsi="華康超黑體"/>
                            </w:rPr>
                            <w:t xml:space="preserve">　工</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36" type="#_x0000_t202" style="position:absolute;left:0;text-align:left;margin-left:296.9pt;margin-top:-5.3pt;width:125.15pt;height:15.55pt;z-index:25167257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" stroked="f">
              <v:fill opacity="0"/>
              <v:textbox inset="0,0,0,0">
                <w:txbxContent>
                  <w:p w:rsidR="005A5E4E" w:rsidRDefault="005A5E4E" w:rsidP="009E009F">
                    <w:pPr>
                      <w:pStyle w:val="a0"/>
                      <w:snapToGrid w:val="0"/>
                      <w:ind w:firstLineChars="0" w:firstLine="0"/>
                      <w:jc w:val="center"/>
                    </w:pPr>
                    <w:proofErr w:type="gramStart"/>
                    <w:r>
                      <w:rPr>
                        <w:rFonts w:ascii="華康超黑體" w:eastAsia="華康超黑體" w:hAnsi="華康超黑體"/>
                      </w:rPr>
                      <w:t>勞</w:t>
                    </w:r>
                    <w:proofErr w:type="gramEnd"/>
                    <w:r>
                      <w:rPr>
                        <w:rFonts w:ascii="華康超黑體" w:eastAsia="華康超黑體" w:hAnsi="華康超黑體"/>
                      </w:rPr>
                      <w:t xml:space="preserve">　工</w:t>
                    </w:r>
                  </w:p>
                </w:txbxContent>
              </v:textbox>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640"/>
      <w:jc w:val="center"/>
      <w:rPr>
        <w:rFonts w:ascii="華康超黑體" w:eastAsia="華康超黑體" w:hAnsi="華康超黑體"/>
        <w:sz w:val="32"/>
        <w:szCs w:val="3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69504" behindDoc="1" locked="0" layoutInCell="1" allowOverlap="1" wp14:anchorId="7F4CC868" wp14:editId="3FB14A92">
              <wp:simplePos x="0" y="0"/>
              <wp:positionH relativeFrom="column">
                <wp:posOffset>3710940</wp:posOffset>
              </wp:positionH>
              <wp:positionV relativeFrom="paragraph">
                <wp:posOffset>18415</wp:posOffset>
              </wp:positionV>
              <wp:extent cx="1714500" cy="113665"/>
              <wp:effectExtent l="0" t="0" r="0" b="0"/>
              <wp:wrapNone/>
              <wp:docPr id="13"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37" o:spid="_x0000_s1026" style="position:absolute;margin-left:292.2pt;margin-top:1.45pt;width:135pt;height:8.95pt;z-index:-2516469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114300" distR="114300" simplePos="0" relativeHeight="251671552" behindDoc="1" locked="0" layoutInCell="1" allowOverlap="1" wp14:anchorId="0F86A892" wp14:editId="3BFDA13C">
              <wp:simplePos x="0" y="0"/>
              <wp:positionH relativeFrom="column">
                <wp:posOffset>0</wp:posOffset>
              </wp:positionH>
              <wp:positionV relativeFrom="paragraph">
                <wp:posOffset>-95885</wp:posOffset>
              </wp:positionV>
              <wp:extent cx="3707130" cy="337820"/>
              <wp:effectExtent l="13335" t="33655" r="13335" b="38100"/>
              <wp:wrapNone/>
              <wp:docPr id="12"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39" o:spid="_x0000_s1026" style="position:absolute;margin-left:0;margin-top:-7.55pt;width:291.9pt;height:26.6pt;z-index:-2516449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val="en-US"/>
      </w:rPr>
      <mc:AlternateContent>
        <mc:Choice Requires="wps">
          <w:drawing>
            <wp:anchor distT="0" distB="0" distL="0" distR="0" simplePos="0" relativeHeight="251673600" behindDoc="0" locked="0" layoutInCell="1" allowOverlap="1" wp14:anchorId="0C1F5D7B" wp14:editId="2A51F3A1">
              <wp:simplePos x="0" y="0"/>
              <wp:positionH relativeFrom="column">
                <wp:posOffset>3770630</wp:posOffset>
              </wp:positionH>
              <wp:positionV relativeFrom="paragraph">
                <wp:posOffset>-67310</wp:posOffset>
              </wp:positionV>
              <wp:extent cx="1589405" cy="197485"/>
              <wp:effectExtent l="2540" t="5080" r="8255" b="6985"/>
              <wp:wrapNone/>
              <wp:docPr id="11"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distribute"/>
                          </w:pPr>
                          <w:r>
                            <w:rPr>
                              <w:rFonts w:ascii="華康超黑體" w:eastAsia="華康超黑體" w:hAnsi="華康超黑體"/>
                            </w:rPr>
                            <w:t>簽證、居留及移民</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037" type="#_x0000_t202" style="position:absolute;left:0;text-align:left;margin-left:296.9pt;margin-top:-5.3pt;width:125.15pt;height:15.55pt;z-index:2516736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" stroked="f">
              <v:fill opacity="0"/>
              <v:textbox inset="0,0,0,0">
                <w:txbxContent>
                  <w:p w:rsidR="005A5E4E" w:rsidRDefault="005A5E4E" w:rsidP="009E009F">
                    <w:pPr>
                      <w:pStyle w:val="a0"/>
                      <w:snapToGrid w:val="0"/>
                      <w:ind w:firstLineChars="0" w:firstLine="0"/>
                      <w:jc w:val="distribute"/>
                    </w:pPr>
                    <w:r>
                      <w:rPr>
                        <w:rFonts w:ascii="華康超黑體" w:eastAsia="華康超黑體" w:hAnsi="華康超黑體"/>
                      </w:rPr>
                      <w:t>簽證、居留及移民</w:t>
                    </w:r>
                  </w:p>
                </w:txbxContent>
              </v:textbox>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66432" behindDoc="1" locked="0" layoutInCell="1" allowOverlap="1" wp14:anchorId="18105AE2" wp14:editId="467B59C2">
              <wp:simplePos x="0" y="0"/>
              <wp:positionH relativeFrom="column">
                <wp:posOffset>3710940</wp:posOffset>
              </wp:positionH>
              <wp:positionV relativeFrom="paragraph">
                <wp:posOffset>18415</wp:posOffset>
              </wp:positionV>
              <wp:extent cx="1714500" cy="113665"/>
              <wp:effectExtent l="0" t="0" r="0" b="0"/>
              <wp:wrapNone/>
              <wp:docPr id="8"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40" o:spid="_x0000_s1026" style="position:absolute;margin-left:292.2pt;margin-top:1.45pt;width:135pt;height:8.95pt;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114300" distR="114300" simplePos="0" relativeHeight="251668480" behindDoc="1" locked="0" layoutInCell="1" allowOverlap="1" wp14:anchorId="052F3029" wp14:editId="7E574FB6">
              <wp:simplePos x="0" y="0"/>
              <wp:positionH relativeFrom="column">
                <wp:posOffset>0</wp:posOffset>
              </wp:positionH>
              <wp:positionV relativeFrom="paragraph">
                <wp:posOffset>-95885</wp:posOffset>
              </wp:positionV>
              <wp:extent cx="3707130" cy="337820"/>
              <wp:effectExtent l="13335" t="33655" r="13335" b="38100"/>
              <wp:wrapNone/>
              <wp:docPr id="7"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42" o:spid="_x0000_s1026" style="position:absolute;margin-left:0;margin-top:-7.55pt;width:291.9pt;height:26.6pt;z-index:-251648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val="en-US"/>
      </w:rPr>
      <mc:AlternateContent>
        <mc:Choice Requires="wps">
          <w:drawing>
            <wp:anchor distT="0" distB="0" distL="0" distR="0" simplePos="0" relativeHeight="251675648" behindDoc="0" locked="0" layoutInCell="1" allowOverlap="1" wp14:anchorId="7699E982" wp14:editId="09A00BC1">
              <wp:simplePos x="0" y="0"/>
              <wp:positionH relativeFrom="column">
                <wp:posOffset>3770630</wp:posOffset>
              </wp:positionH>
              <wp:positionV relativeFrom="paragraph">
                <wp:posOffset>-67310</wp:posOffset>
              </wp:positionV>
              <wp:extent cx="1589405" cy="197485"/>
              <wp:effectExtent l="2540" t="5080" r="8255" b="6985"/>
              <wp:wrapNone/>
              <wp:docPr id="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center"/>
                          </w:pPr>
                          <w:r>
                            <w:rPr>
                              <w:rFonts w:ascii="華康超黑體" w:eastAsia="華康超黑體" w:hAnsi="華康超黑體"/>
                            </w:rPr>
                            <w:t>結　論</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038" type="#_x0000_t202" style="position:absolute;left:0;text-align:left;margin-left:296.9pt;margin-top:-5.3pt;width:125.15pt;height:15.55pt;z-index:25167564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" stroked="f">
              <v:fill opacity="0"/>
              <v:textbox inset="0,0,0,0">
                <w:txbxContent>
                  <w:p w:rsidR="005A5E4E" w:rsidRDefault="005A5E4E" w:rsidP="009E009F">
                    <w:pPr>
                      <w:pStyle w:val="a0"/>
                      <w:snapToGrid w:val="0"/>
                      <w:ind w:firstLineChars="0" w:firstLine="0"/>
                      <w:jc w:val="center"/>
                    </w:pPr>
                    <w:r>
                      <w:rPr>
                        <w:rFonts w:ascii="華康超黑體" w:eastAsia="華康超黑體" w:hAnsi="華康超黑體"/>
                      </w:rPr>
                      <w:t>結　論</w:t>
                    </w:r>
                  </w:p>
                </w:txbxContent>
              </v:textbox>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54144" behindDoc="1" locked="0" layoutInCell="1" allowOverlap="1" wp14:anchorId="50D32110" wp14:editId="4EA838D4">
              <wp:simplePos x="0" y="0"/>
              <wp:positionH relativeFrom="column">
                <wp:posOffset>3710940</wp:posOffset>
              </wp:positionH>
              <wp:positionV relativeFrom="paragraph">
                <wp:posOffset>18415</wp:posOffset>
              </wp:positionV>
              <wp:extent cx="1714500" cy="113665"/>
              <wp:effectExtent l="0" t="0" r="0" b="0"/>
              <wp:wrapNone/>
              <wp:docPr id="3"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40" o:spid="_x0000_s1026" style="position:absolute;margin-left:292.2pt;margin-top:1.45pt;width:135pt;height:8.9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114300" distR="114300" simplePos="0" relativeHeight="251655168" behindDoc="1" locked="0" layoutInCell="1" allowOverlap="1" wp14:anchorId="26990AF0" wp14:editId="58455E92">
              <wp:simplePos x="0" y="0"/>
              <wp:positionH relativeFrom="column">
                <wp:posOffset>0</wp:posOffset>
              </wp:positionH>
              <wp:positionV relativeFrom="paragraph">
                <wp:posOffset>-95885</wp:posOffset>
              </wp:positionV>
              <wp:extent cx="3707130" cy="337820"/>
              <wp:effectExtent l="13335" t="33655" r="13335" b="38100"/>
              <wp:wrapNone/>
              <wp:docPr id="2"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42" o:spid="_x0000_s1026" style="position:absolute;margin-left:0;margin-top:-7.55pt;width:291.9pt;height:26.6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r>
      <w:rPr>
        <w:noProof/>
        <w:lang w:val="en-US"/>
      </w:rPr>
      <mc:AlternateContent>
        <mc:Choice Requires="wps">
          <w:drawing>
            <wp:anchor distT="0" distB="0" distL="0" distR="0" simplePos="0" relativeHeight="251660288" behindDoc="0" locked="0" layoutInCell="1" allowOverlap="1" wp14:anchorId="7849E885" wp14:editId="466A1C38">
              <wp:simplePos x="0" y="0"/>
              <wp:positionH relativeFrom="column">
                <wp:posOffset>3770630</wp:posOffset>
              </wp:positionH>
              <wp:positionV relativeFrom="paragraph">
                <wp:posOffset>-67310</wp:posOffset>
              </wp:positionV>
              <wp:extent cx="1589405" cy="197485"/>
              <wp:effectExtent l="2540" t="5080" r="8255" b="6985"/>
              <wp:wrapNone/>
              <wp:docPr id="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center"/>
                          </w:pPr>
                          <w:r>
                            <w:rPr>
                              <w:rFonts w:ascii="華康超黑體" w:eastAsia="華康超黑體" w:hAnsi="華康超黑體"/>
                            </w:rPr>
                            <w:t>附　錄</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039" type="#_x0000_t202" style="position:absolute;left:0;text-align:left;margin-left:296.9pt;margin-top:-5.3pt;width:125.15pt;height:15.55pt;z-index:251660288;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" stroked="f">
              <v:fill opacity="0"/>
              <v:textbox inset="0,0,0,0">
                <w:txbxContent>
                  <w:p w:rsidR="005A5E4E" w:rsidRDefault="005A5E4E" w:rsidP="009E009F">
                    <w:pPr>
                      <w:pStyle w:val="a0"/>
                      <w:snapToGrid w:val="0"/>
                      <w:ind w:firstLineChars="0" w:firstLine="0"/>
                      <w:jc w:val="center"/>
                    </w:pPr>
                    <w:r>
                      <w:rPr>
                        <w:rFonts w:ascii="華康超黑體" w:eastAsia="華康超黑體" w:hAnsi="華康超黑體"/>
                      </w:rPr>
                      <w:t>附　錄</w:t>
                    </w:r>
                  </w:p>
                </w:txbxContent>
              </v:textbox>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640"/>
      <w:jc w:val="center"/>
      <w:rPr>
        <w:rFonts w:ascii="華康超黑體" w:eastAsia="華康超黑體" w:hAnsi="華康超黑體"/>
        <w:sz w:val="32"/>
        <w:szCs w:val="3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pPr>
    <w:r>
      <w:rPr>
        <w:noProof/>
      </w:rPr>
      <mc:AlternateContent>
        <mc:Choice Requires="wps">
          <w:drawing>
            <wp:anchor distT="0" distB="0" distL="114300" distR="114300" simplePos="0" relativeHeight="251645952" behindDoc="1" locked="0" layoutInCell="1" allowOverlap="1" wp14:anchorId="0C125C59" wp14:editId="376D7EBA">
              <wp:simplePos x="0" y="0"/>
              <wp:positionH relativeFrom="column">
                <wp:posOffset>-22860</wp:posOffset>
              </wp:positionH>
              <wp:positionV relativeFrom="paragraph">
                <wp:posOffset>35560</wp:posOffset>
              </wp:positionV>
              <wp:extent cx="2106295" cy="113665"/>
              <wp:effectExtent l="0" t="3175" r="0" b="0"/>
              <wp:wrapNone/>
              <wp:docPr id="52"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13" o:spid="_x0000_s1026" style="position:absolute;margin-left:-1.8pt;margin-top:2.8pt;width:165.85pt;height:8.9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" path="m,l21600,r,21600l,21600,,xe" fillcolor="silver" stroked="f" strokecolor="#385d8a" strokeweight=".71mm">
              <v:path o:connecttype="custom" o:connectlocs="0,0;2106295,0;2106295,113665;0,113665" o:connectangles="0,0,0,0"/>
            </v:shape>
          </w:pict>
        </mc:Fallback>
      </mc:AlternateContent>
    </w:r>
    <w:r>
      <w:rPr>
        <w:noProof/>
      </w:rPr>
      <mc:AlternateContent>
        <mc:Choice Requires="wps">
          <w:drawing>
            <wp:anchor distT="0" distB="0" distL="0" distR="0" simplePos="0" relativeHeight="251648000" behindDoc="0" locked="0" layoutInCell="1" allowOverlap="1" wp14:anchorId="7EA3687A" wp14:editId="5DEC1863">
              <wp:simplePos x="0" y="0"/>
              <wp:positionH relativeFrom="column">
                <wp:posOffset>72390</wp:posOffset>
              </wp:positionH>
              <wp:positionV relativeFrom="paragraph">
                <wp:posOffset>-95885</wp:posOffset>
              </wp:positionV>
              <wp:extent cx="1927225" cy="263525"/>
              <wp:effectExtent l="0" t="5080" r="6350" b="7620"/>
              <wp:wrapNone/>
              <wp:docPr id="5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225" cy="263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distribute"/>
                          </w:pPr>
                          <w:r>
                            <w:rPr>
                              <w:rFonts w:ascii="華康超黑體" w:eastAsia="華康超黑體" w:hAnsi="華康超黑體"/>
                              <w:sz w:val="32"/>
                              <w:szCs w:val="32"/>
                            </w:rPr>
                            <w:t>斯</w:t>
                          </w:r>
                          <w:proofErr w:type="gramStart"/>
                          <w:r>
                            <w:rPr>
                              <w:rFonts w:ascii="華康超黑體" w:eastAsia="華康超黑體" w:hAnsi="華康超黑體"/>
                              <w:sz w:val="32"/>
                              <w:szCs w:val="32"/>
                            </w:rPr>
                            <w:t>洛</w:t>
                          </w:r>
                          <w:proofErr w:type="gramEnd"/>
                          <w:r>
                            <w:rPr>
                              <w:rFonts w:ascii="華康超黑體" w:eastAsia="華康超黑體" w:hAnsi="華康超黑體"/>
                              <w:sz w:val="32"/>
                              <w:szCs w:val="32"/>
                            </w:rPr>
                            <w:t>伐克</w:t>
                          </w:r>
                          <w:r>
                            <w:rPr>
                              <w:rFonts w:ascii="華康超黑體" w:eastAsia="華康超黑體" w:hAnsi="華康超黑體"/>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8" type="#_x0000_t202" style="position:absolute;left:0;text-align:left;margin-left:5.7pt;margin-top:-7.55pt;width:151.75pt;height:20.75pt;z-index:25164800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" stroked="f">
              <v:fill opacity="0"/>
              <v:textbox inset="0,0,0,0">
                <w:txbxContent>
                  <w:p w:rsidR="005A5E4E" w:rsidRDefault="005A5E4E" w:rsidP="009E009F">
                    <w:pPr>
                      <w:pStyle w:val="a0"/>
                      <w:snapToGrid w:val="0"/>
                      <w:ind w:firstLineChars="0" w:firstLine="0"/>
                      <w:jc w:val="distribute"/>
                    </w:pPr>
                    <w:r>
                      <w:rPr>
                        <w:rFonts w:ascii="華康超黑體" w:eastAsia="華康超黑體" w:hAnsi="華康超黑體"/>
                        <w:sz w:val="32"/>
                        <w:szCs w:val="32"/>
                      </w:rPr>
                      <w:t>斯</w:t>
                    </w:r>
                    <w:proofErr w:type="gramStart"/>
                    <w:r>
                      <w:rPr>
                        <w:rFonts w:ascii="華康超黑體" w:eastAsia="華康超黑體" w:hAnsi="華康超黑體"/>
                        <w:sz w:val="32"/>
                        <w:szCs w:val="32"/>
                      </w:rPr>
                      <w:t>洛</w:t>
                    </w:r>
                    <w:proofErr w:type="gramEnd"/>
                    <w:r>
                      <w:rPr>
                        <w:rFonts w:ascii="華康超黑體" w:eastAsia="華康超黑體" w:hAnsi="華康超黑體"/>
                        <w:sz w:val="32"/>
                        <w:szCs w:val="32"/>
                      </w:rPr>
                      <w:t>伐克</w:t>
                    </w:r>
                    <w:r>
                      <w:rPr>
                        <w:rFonts w:ascii="華康超黑體" w:eastAsia="華康超黑體" w:hAnsi="華康超黑體"/>
                      </w:rPr>
                      <w:t>投資環境簡介</w:t>
                    </w:r>
                  </w:p>
                </w:txbxContent>
              </v:textbox>
            </v:shape>
          </w:pict>
        </mc:Fallback>
      </mc:AlternateContent>
    </w:r>
    <w:r>
      <w:rPr>
        <w:noProof/>
      </w:rPr>
      <mc:AlternateContent>
        <mc:Choice Requires="wps">
          <w:drawing>
            <wp:anchor distT="0" distB="0" distL="114300" distR="114300" simplePos="0" relativeHeight="251650048" behindDoc="1" locked="0" layoutInCell="1" allowOverlap="1" wp14:anchorId="457088C6" wp14:editId="093BE29C">
              <wp:simplePos x="0" y="0"/>
              <wp:positionH relativeFrom="column">
                <wp:posOffset>2078355</wp:posOffset>
              </wp:positionH>
              <wp:positionV relativeFrom="paragraph">
                <wp:posOffset>-78740</wp:posOffset>
              </wp:positionV>
              <wp:extent cx="3348990" cy="337820"/>
              <wp:effectExtent l="5715" t="31750" r="7620" b="40005"/>
              <wp:wrapNone/>
              <wp:docPr id="50"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7820"/>
                      </a:xfrm>
                      <a:custGeom>
                        <a:avLst/>
                        <a:gdLst>
                          <a:gd name="G0" fmla="+- 2637 0 0"/>
                          <a:gd name="G1" fmla="+- 5274 0 0"/>
                          <a:gd name="G2" fmla="+- 266 0 0"/>
                          <a:gd name="G3" fmla="+- 533 0 0"/>
                          <a:gd name="G4" fmla="+- G3 0 G2"/>
                          <a:gd name="G5" fmla="+- G1 0 G0"/>
                          <a:gd name="G6" fmla="*/ G5 1 5274"/>
                          <a:gd name="G7" fmla="*/ G4 1 533"/>
                          <a:gd name="G8" fmla="*/ 5274 G5 1"/>
                          <a:gd name="G9" fmla="*/ G8 1 5274"/>
                          <a:gd name="G10" fmla="*/ 262 G4 1"/>
                          <a:gd name="G11" fmla="*/ G10 1 533"/>
                          <a:gd name="G12" fmla="*/ 2136 G5 1"/>
                          <a:gd name="G13" fmla="*/ G12 1 5274"/>
                          <a:gd name="G14" fmla="*/ 266 G4 1"/>
                          <a:gd name="G15" fmla="*/ G14 1 533"/>
                          <a:gd name="G16" fmla="*/ 2026 G5 1"/>
                          <a:gd name="G17" fmla="*/ G16 1 5274"/>
                          <a:gd name="G18" fmla="*/ 96 G4 1"/>
                          <a:gd name="G19" fmla="*/ G18 1 533"/>
                          <a:gd name="G20" fmla="*/ 1943 G5 1"/>
                          <a:gd name="G21" fmla="*/ G20 1 5274"/>
                          <a:gd name="G22" fmla="*/ 478 G4 1"/>
                          <a:gd name="G23" fmla="*/ G22 1 533"/>
                          <a:gd name="G24" fmla="*/ 1839 G5 1"/>
                          <a:gd name="G25" fmla="*/ G24 1 5274"/>
                          <a:gd name="G26" fmla="*/ 82 G4 1"/>
                          <a:gd name="G27" fmla="*/ G26 1 533"/>
                          <a:gd name="G28" fmla="*/ 1721 G5 1"/>
                          <a:gd name="G29" fmla="*/ G28 1 5274"/>
                          <a:gd name="G30" fmla="*/ 362 G4 1"/>
                          <a:gd name="G31" fmla="*/ G30 1 533"/>
                          <a:gd name="G32" fmla="*/ 1645 G5 1"/>
                          <a:gd name="G33" fmla="*/ G32 1 5274"/>
                          <a:gd name="G34" fmla="*/ 0 G4 1"/>
                          <a:gd name="G35" fmla="*/ G34 1 533"/>
                          <a:gd name="G36" fmla="*/ 1549 G5 1"/>
                          <a:gd name="G37" fmla="*/ G36 1 5274"/>
                          <a:gd name="G38" fmla="*/ 533 G4 1"/>
                          <a:gd name="G39" fmla="*/ G38 1 533"/>
                          <a:gd name="G40" fmla="*/ 1486 G5 1"/>
                          <a:gd name="G41" fmla="*/ G40 1 5274"/>
                          <a:gd name="G42" fmla="*/ 157 G4 1"/>
                          <a:gd name="G43" fmla="*/ G42 1 533"/>
                          <a:gd name="G44" fmla="*/ 1362 G5 1"/>
                          <a:gd name="G45" fmla="*/ G44 1 5274"/>
                          <a:gd name="G46" fmla="*/ 410 G4 1"/>
                          <a:gd name="G47" fmla="*/ G46 1 533"/>
                          <a:gd name="G48" fmla="*/ 1224 G5 1"/>
                          <a:gd name="G49" fmla="*/ G48 1 5274"/>
                          <a:gd name="G50" fmla="*/ 34 G4 1"/>
                          <a:gd name="G51" fmla="*/ G50 1 533"/>
                          <a:gd name="G52" fmla="*/ 1168 G5 1"/>
                          <a:gd name="G53" fmla="*/ G52 1 5274"/>
                          <a:gd name="G54" fmla="*/ 0 G5 1"/>
                          <a:gd name="G55" fmla="*/ G54 1 5274"/>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 name="T26" fmla="*/ G83 w 5274"/>
                          <a:gd name="T27" fmla="*/ G85 h 533"/>
                          <a:gd name="T28" fmla="*/ G84 w 5274"/>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5" o:spid="_x0000_s1026" style="position:absolute;margin-left:163.65pt;margin-top:-6.2pt;width:263.7pt;height:26.6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" path="m5274,262r-3138,4l2026,96r-83,382l1839,82,1721,362,1645,r-96,533l1486,157,1362,410,1224,34r-56,232l,269e" filled="f" strokeweight=".26mm">
              <v:path o:connecttype="custom" o:connectlocs="3348990,166058;1356360,168593;1286510,60846;1233805,302961;1167765,51972;1092835,229439;1044575,0;983615,337820;943610,99508;864870,259862;777240,21549;741680,168593;0,170495" o:connectangles="0,0,0,0,0,0,0,0,0,0,0,0,0" textboxrect="0,0,10548,1064"/>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42880" behindDoc="1" locked="0" layoutInCell="1" allowOverlap="1" wp14:anchorId="59712382" wp14:editId="646C0BD7">
              <wp:simplePos x="0" y="0"/>
              <wp:positionH relativeFrom="column">
                <wp:posOffset>3710940</wp:posOffset>
              </wp:positionH>
              <wp:positionV relativeFrom="paragraph">
                <wp:posOffset>18415</wp:posOffset>
              </wp:positionV>
              <wp:extent cx="1714500" cy="113665"/>
              <wp:effectExtent l="0" t="0" r="0" b="0"/>
              <wp:wrapNone/>
              <wp:docPr id="4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7" o:spid="_x0000_s1026" style="position:absolute;margin-left:292.2pt;margin-top:1.45pt;width:135pt;height:8.95pt;z-index:-2516736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0" distR="0" simplePos="0" relativeHeight="251643904" behindDoc="0" locked="0" layoutInCell="1" allowOverlap="1" wp14:anchorId="200F1A3D" wp14:editId="7E6E558C">
              <wp:simplePos x="0" y="0"/>
              <wp:positionH relativeFrom="column">
                <wp:posOffset>3770630</wp:posOffset>
              </wp:positionH>
              <wp:positionV relativeFrom="paragraph">
                <wp:posOffset>-67310</wp:posOffset>
              </wp:positionV>
              <wp:extent cx="1589405" cy="197485"/>
              <wp:effectExtent l="2540" t="5080" r="8255" b="698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distribute"/>
                          </w:pPr>
                          <w:r>
                            <w:rPr>
                              <w:rFonts w:ascii="華康超黑體" w:eastAsia="華康超黑體" w:hAnsi="華康超黑體"/>
                            </w:rPr>
                            <w:t>自然人文環境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9" type="#_x0000_t202" style="position:absolute;left:0;text-align:left;margin-left:296.9pt;margin-top:-5.3pt;width:125.15pt;height:15.55pt;z-index:2516439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" stroked="f">
              <v:fill opacity="0"/>
              <v:textbox inset="0,0,0,0">
                <w:txbxContent>
                  <w:p w:rsidR="005A5E4E" w:rsidRDefault="005A5E4E" w:rsidP="009E009F">
                    <w:pPr>
                      <w:pStyle w:val="a0"/>
                      <w:snapToGrid w:val="0"/>
                      <w:ind w:firstLineChars="0" w:firstLine="0"/>
                      <w:jc w:val="distribute"/>
                    </w:pPr>
                    <w:r>
                      <w:rPr>
                        <w:rFonts w:ascii="華康超黑體" w:eastAsia="華康超黑體" w:hAnsi="華康超黑體"/>
                      </w:rPr>
                      <w:t>自然人文環境</w:t>
                    </w:r>
                  </w:p>
                </w:txbxContent>
              </v:textbox>
            </v:shape>
          </w:pict>
        </mc:Fallback>
      </mc:AlternateContent>
    </w:r>
    <w:r>
      <w:rPr>
        <w:noProof/>
        <w:lang w:val="en-US"/>
      </w:rPr>
      <mc:AlternateContent>
        <mc:Choice Requires="wps">
          <w:drawing>
            <wp:anchor distT="0" distB="0" distL="114300" distR="114300" simplePos="0" relativeHeight="251644928" behindDoc="1" locked="0" layoutInCell="1" allowOverlap="1" wp14:anchorId="69D4CF52" wp14:editId="2422798C">
              <wp:simplePos x="0" y="0"/>
              <wp:positionH relativeFrom="column">
                <wp:posOffset>0</wp:posOffset>
              </wp:positionH>
              <wp:positionV relativeFrom="paragraph">
                <wp:posOffset>-95885</wp:posOffset>
              </wp:positionV>
              <wp:extent cx="3707130" cy="337820"/>
              <wp:effectExtent l="13335" t="33655" r="13335" b="38100"/>
              <wp:wrapNone/>
              <wp:docPr id="47" name="Freeform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9" o:spid="_x0000_s1026" style="position:absolute;margin-left:0;margin-top:-7.55pt;width:291.9pt;height:26.6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pPr>
      <w:pStyle w:val="af5"/>
    </w:pPr>
    <w:r>
      <w:rPr>
        <w:noProof/>
      </w:rPr>
      <mc:AlternateContent>
        <mc:Choice Requires="wps">
          <w:drawing>
            <wp:anchor distT="0" distB="0" distL="114300" distR="114300" simplePos="0" relativeHeight="251639808" behindDoc="1" locked="0" layoutInCell="1" allowOverlap="1" wp14:anchorId="10406B52" wp14:editId="1261D30D">
              <wp:simplePos x="0" y="0"/>
              <wp:positionH relativeFrom="column">
                <wp:posOffset>-22860</wp:posOffset>
              </wp:positionH>
              <wp:positionV relativeFrom="paragraph">
                <wp:posOffset>35560</wp:posOffset>
              </wp:positionV>
              <wp:extent cx="2106295" cy="113665"/>
              <wp:effectExtent l="0" t="3175" r="0" b="0"/>
              <wp:wrapNone/>
              <wp:docPr id="46"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13" o:spid="_x0000_s1026" style="position:absolute;margin-left:-1.8pt;margin-top:2.8pt;width:165.85pt;height:8.95pt;z-index:-251676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" path="m,l21600,r,21600l,21600,,xe" fillcolor="silver" stroked="f" strokecolor="#385d8a" strokeweight=".71mm">
              <v:path o:connecttype="custom" o:connectlocs="0,0;2106295,0;2106295,113665;0,113665" o:connectangles="0,0,0,0"/>
            </v:shape>
          </w:pict>
        </mc:Fallback>
      </mc:AlternateContent>
    </w:r>
    <w:r>
      <w:rPr>
        <w:noProof/>
      </w:rPr>
      <mc:AlternateContent>
        <mc:Choice Requires="wps">
          <w:drawing>
            <wp:anchor distT="0" distB="0" distL="0" distR="0" simplePos="0" relativeHeight="251640832" behindDoc="0" locked="0" layoutInCell="1" allowOverlap="1" wp14:anchorId="4DEA5E48" wp14:editId="332FD1B7">
              <wp:simplePos x="0" y="0"/>
              <wp:positionH relativeFrom="column">
                <wp:posOffset>72390</wp:posOffset>
              </wp:positionH>
              <wp:positionV relativeFrom="paragraph">
                <wp:posOffset>-95885</wp:posOffset>
              </wp:positionV>
              <wp:extent cx="1927225" cy="263525"/>
              <wp:effectExtent l="0" t="5080" r="6350" b="7620"/>
              <wp:wrapNone/>
              <wp:docPr id="4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225" cy="2635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242F37">
                          <w:pPr>
                            <w:pStyle w:val="a0"/>
                            <w:snapToGrid w:val="0"/>
                            <w:ind w:firstLineChars="0" w:firstLine="0"/>
                            <w:jc w:val="center"/>
                          </w:pPr>
                          <w:r>
                            <w:rPr>
                              <w:rFonts w:ascii="華康超黑體" w:eastAsia="華康超黑體" w:hAnsi="華康超黑體"/>
                              <w:sz w:val="32"/>
                              <w:szCs w:val="32"/>
                            </w:rPr>
                            <w:t>斯</w:t>
                          </w:r>
                          <w:proofErr w:type="gramStart"/>
                          <w:r>
                            <w:rPr>
                              <w:rFonts w:ascii="華康超黑體" w:eastAsia="華康超黑體" w:hAnsi="華康超黑體"/>
                              <w:sz w:val="32"/>
                              <w:szCs w:val="32"/>
                            </w:rPr>
                            <w:t>洛</w:t>
                          </w:r>
                          <w:proofErr w:type="gramEnd"/>
                          <w:r>
                            <w:rPr>
                              <w:rFonts w:ascii="華康超黑體" w:eastAsia="華康超黑體" w:hAnsi="華康超黑體"/>
                              <w:sz w:val="32"/>
                              <w:szCs w:val="32"/>
                            </w:rPr>
                            <w:t>伐克</w:t>
                          </w:r>
                          <w:r>
                            <w:rPr>
                              <w:rFonts w:ascii="華康超黑體" w:eastAsia="華康超黑體" w:hAnsi="華康超黑體"/>
                            </w:rPr>
                            <w:t>投資環境簡介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30" type="#_x0000_t202" style="position:absolute;left:0;text-align:left;margin-left:5.7pt;margin-top:-7.55pt;width:151.75pt;height:20.75pt;z-index:25164083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" stroked="f">
              <v:fill opacity="0"/>
              <v:textbox inset="0,0,0,0">
                <w:txbxContent>
                  <w:p w:rsidR="005A5E4E" w:rsidRDefault="005A5E4E" w:rsidP="00242F37">
                    <w:pPr>
                      <w:pStyle w:val="a0"/>
                      <w:snapToGrid w:val="0"/>
                      <w:ind w:firstLineChars="0" w:firstLine="0"/>
                      <w:jc w:val="center"/>
                    </w:pPr>
                    <w:r>
                      <w:rPr>
                        <w:rFonts w:ascii="華康超黑體" w:eastAsia="華康超黑體" w:hAnsi="華康超黑體"/>
                        <w:sz w:val="32"/>
                        <w:szCs w:val="32"/>
                      </w:rPr>
                      <w:t>斯</w:t>
                    </w:r>
                    <w:proofErr w:type="gramStart"/>
                    <w:r>
                      <w:rPr>
                        <w:rFonts w:ascii="華康超黑體" w:eastAsia="華康超黑體" w:hAnsi="華康超黑體"/>
                        <w:sz w:val="32"/>
                        <w:szCs w:val="32"/>
                      </w:rPr>
                      <w:t>洛</w:t>
                    </w:r>
                    <w:proofErr w:type="gramEnd"/>
                    <w:r>
                      <w:rPr>
                        <w:rFonts w:ascii="華康超黑體" w:eastAsia="華康超黑體" w:hAnsi="華康超黑體"/>
                        <w:sz w:val="32"/>
                        <w:szCs w:val="32"/>
                      </w:rPr>
                      <w:t>伐克</w:t>
                    </w:r>
                    <w:r>
                      <w:rPr>
                        <w:rFonts w:ascii="華康超黑體" w:eastAsia="華康超黑體" w:hAnsi="華康超黑體"/>
                      </w:rPr>
                      <w:t>投資環境簡介</w:t>
                    </w:r>
                  </w:p>
                </w:txbxContent>
              </v:textbox>
            </v:shape>
          </w:pict>
        </mc:Fallback>
      </mc:AlternateContent>
    </w:r>
    <w:r>
      <w:rPr>
        <w:noProof/>
      </w:rPr>
      <mc:AlternateContent>
        <mc:Choice Requires="wps">
          <w:drawing>
            <wp:anchor distT="0" distB="0" distL="114300" distR="114300" simplePos="0" relativeHeight="251641856" behindDoc="1" locked="0" layoutInCell="1" allowOverlap="1" wp14:anchorId="4C8D1FFD" wp14:editId="5D1103D3">
              <wp:simplePos x="0" y="0"/>
              <wp:positionH relativeFrom="column">
                <wp:posOffset>2078355</wp:posOffset>
              </wp:positionH>
              <wp:positionV relativeFrom="paragraph">
                <wp:posOffset>-78740</wp:posOffset>
              </wp:positionV>
              <wp:extent cx="3348990" cy="337820"/>
              <wp:effectExtent l="5715" t="31750" r="7620" b="40005"/>
              <wp:wrapNone/>
              <wp:docPr id="44"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48990" cy="337820"/>
                      </a:xfrm>
                      <a:custGeom>
                        <a:avLst/>
                        <a:gdLst>
                          <a:gd name="G0" fmla="+- 2637 0 0"/>
                          <a:gd name="G1" fmla="+- 5274 0 0"/>
                          <a:gd name="G2" fmla="+- 266 0 0"/>
                          <a:gd name="G3" fmla="+- 533 0 0"/>
                          <a:gd name="G4" fmla="+- G3 0 G2"/>
                          <a:gd name="G5" fmla="+- G1 0 G0"/>
                          <a:gd name="G6" fmla="*/ G5 1 5274"/>
                          <a:gd name="G7" fmla="*/ G4 1 533"/>
                          <a:gd name="G8" fmla="*/ 5274 G5 1"/>
                          <a:gd name="G9" fmla="*/ G8 1 5274"/>
                          <a:gd name="G10" fmla="*/ 262 G4 1"/>
                          <a:gd name="G11" fmla="*/ G10 1 533"/>
                          <a:gd name="G12" fmla="*/ 2136 G5 1"/>
                          <a:gd name="G13" fmla="*/ G12 1 5274"/>
                          <a:gd name="G14" fmla="*/ 266 G4 1"/>
                          <a:gd name="G15" fmla="*/ G14 1 533"/>
                          <a:gd name="G16" fmla="*/ 2026 G5 1"/>
                          <a:gd name="G17" fmla="*/ G16 1 5274"/>
                          <a:gd name="G18" fmla="*/ 96 G4 1"/>
                          <a:gd name="G19" fmla="*/ G18 1 533"/>
                          <a:gd name="G20" fmla="*/ 1943 G5 1"/>
                          <a:gd name="G21" fmla="*/ G20 1 5274"/>
                          <a:gd name="G22" fmla="*/ 478 G4 1"/>
                          <a:gd name="G23" fmla="*/ G22 1 533"/>
                          <a:gd name="G24" fmla="*/ 1839 G5 1"/>
                          <a:gd name="G25" fmla="*/ G24 1 5274"/>
                          <a:gd name="G26" fmla="*/ 82 G4 1"/>
                          <a:gd name="G27" fmla="*/ G26 1 533"/>
                          <a:gd name="G28" fmla="*/ 1721 G5 1"/>
                          <a:gd name="G29" fmla="*/ G28 1 5274"/>
                          <a:gd name="G30" fmla="*/ 362 G4 1"/>
                          <a:gd name="G31" fmla="*/ G30 1 533"/>
                          <a:gd name="G32" fmla="*/ 1645 G5 1"/>
                          <a:gd name="G33" fmla="*/ G32 1 5274"/>
                          <a:gd name="G34" fmla="*/ 0 G4 1"/>
                          <a:gd name="G35" fmla="*/ G34 1 533"/>
                          <a:gd name="G36" fmla="*/ 1549 G5 1"/>
                          <a:gd name="G37" fmla="*/ G36 1 5274"/>
                          <a:gd name="G38" fmla="*/ 533 G4 1"/>
                          <a:gd name="G39" fmla="*/ G38 1 533"/>
                          <a:gd name="G40" fmla="*/ 1486 G5 1"/>
                          <a:gd name="G41" fmla="*/ G40 1 5274"/>
                          <a:gd name="G42" fmla="*/ 157 G4 1"/>
                          <a:gd name="G43" fmla="*/ G42 1 533"/>
                          <a:gd name="G44" fmla="*/ 1362 G5 1"/>
                          <a:gd name="G45" fmla="*/ G44 1 5274"/>
                          <a:gd name="G46" fmla="*/ 410 G4 1"/>
                          <a:gd name="G47" fmla="*/ G46 1 533"/>
                          <a:gd name="G48" fmla="*/ 1224 G5 1"/>
                          <a:gd name="G49" fmla="*/ G48 1 5274"/>
                          <a:gd name="G50" fmla="*/ 34 G4 1"/>
                          <a:gd name="G51" fmla="*/ G50 1 533"/>
                          <a:gd name="G52" fmla="*/ 1168 G5 1"/>
                          <a:gd name="G53" fmla="*/ G52 1 5274"/>
                          <a:gd name="G54" fmla="*/ 0 G5 1"/>
                          <a:gd name="G55" fmla="*/ G54 1 5274"/>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 name="T26" fmla="*/ G83 w 5274"/>
                          <a:gd name="T27" fmla="*/ G85 h 533"/>
                          <a:gd name="T28" fmla="*/ G84 w 5274"/>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5" o:spid="_x0000_s1026" style="position:absolute;margin-left:163.65pt;margin-top:-6.2pt;width:263.7pt;height:26.6pt;z-index:-2516746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" path="m5274,262r-3138,4l2026,96r-83,382l1839,82,1721,362,1645,r-96,533l1486,157,1362,410,1224,34r-56,232l,269e" filled="f" strokeweight=".26mm">
              <v:path o:connecttype="custom" o:connectlocs="3348990,166058;1356360,168593;1286510,60846;1233805,302961;1167765,51972;1092835,229439;1044575,0;983615,337820;943610,99508;864870,259862;777240,21549;741680,168593;0,170495" o:connectangles="0,0,0,0,0,0,0,0,0,0,0,0,0" textboxrect="0,0,10548,1064"/>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rsidP="006F3E9A">
    <w:pPr>
      <w:pStyle w:val="a0"/>
      <w:snapToGrid w:val="0"/>
      <w:ind w:firstLine="480"/>
      <w:jc w:val="center"/>
    </w:pPr>
    <w:r>
      <w:rPr>
        <w:noProof/>
        <w:lang w:val="en-US"/>
      </w:rPr>
      <mc:AlternateContent>
        <mc:Choice Requires="wps">
          <w:drawing>
            <wp:anchor distT="0" distB="0" distL="114300" distR="114300" simplePos="0" relativeHeight="251651072" behindDoc="1" locked="0" layoutInCell="1" allowOverlap="1" wp14:anchorId="70CCAA77" wp14:editId="76B477E3">
              <wp:simplePos x="0" y="0"/>
              <wp:positionH relativeFrom="column">
                <wp:posOffset>3710940</wp:posOffset>
              </wp:positionH>
              <wp:positionV relativeFrom="paragraph">
                <wp:posOffset>18415</wp:posOffset>
              </wp:positionV>
              <wp:extent cx="1714500" cy="113665"/>
              <wp:effectExtent l="0" t="0" r="0" b="0"/>
              <wp:wrapNone/>
              <wp:docPr id="4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custGeom>
                        <a:avLst/>
                        <a:gdLst>
                          <a:gd name="T0" fmla="*/ 0 w 21600"/>
                          <a:gd name="T1" fmla="*/ 0 h 21600"/>
                          <a:gd name="T2" fmla="*/ 21600 w 21600"/>
                          <a:gd name="T3" fmla="*/ 0 h 21600"/>
                          <a:gd name="T4" fmla="*/ 21600 w 21600"/>
                          <a:gd name="T5" fmla="*/ 21600 h 21600"/>
                          <a:gd name="T6" fmla="*/ 0 w 21600"/>
                          <a:gd name="T7" fmla="*/ 21600 h 21600"/>
                        </a:gdLst>
                        <a:ahLst/>
                        <a:cxnLst>
                          <a:cxn ang="0">
                            <a:pos x="T0" y="T1"/>
                          </a:cxn>
                          <a:cxn ang="0">
                            <a:pos x="T2" y="T3"/>
                          </a:cxn>
                          <a:cxn ang="0">
                            <a:pos x="T4" y="T5"/>
                          </a:cxn>
                          <a:cxn ang="0">
                            <a:pos x="T6" y="T7"/>
                          </a:cxn>
                        </a:cxnLst>
                        <a:rect l="0" t="0" r="r" b="b"/>
                        <a:pathLst>
                          <a:path w="21600" h="21600">
                            <a:moveTo>
                              <a:pt x="0" y="0"/>
                            </a:moveTo>
                            <a:lnTo>
                              <a:pt x="21600" y="0"/>
                            </a:lnTo>
                            <a:lnTo>
                              <a:pt x="21600" y="21600"/>
                            </a:lnTo>
                            <a:lnTo>
                              <a:pt x="0" y="21600"/>
                            </a:lnTo>
                            <a:close/>
                          </a:path>
                        </a:pathLst>
                      </a:custGeom>
                      <a:solidFill>
                        <a:srgbClr val="C0C0C0"/>
                      </a:solidFill>
                      <a:ln>
                        <a:noFill/>
                      </a:ln>
                      <a:effectLst/>
                      <a:extLst>
                        <a:ext uri="{91240B29-F687-4F45-9708-019B960494DF}">
                          <a14:hiddenLine xmlns:a14="http://schemas.microsoft.com/office/drawing/2010/main" w="25560" cap="flat">
                            <a:solidFill>
                              <a:srgbClr val="385D8A"/>
                            </a:solidFill>
                            <a:round/>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Rectangle 16" o:spid="_x0000_s1026" style="position:absolute;margin-left:292.2pt;margin-top:1.45pt;width:135pt;height:8.95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" path="m,l21600,r,21600l,21600,,xe" fillcolor="silver" stroked="f" strokecolor="#385d8a" strokeweight=".71mm">
              <v:path o:connecttype="custom" o:connectlocs="0,0;1714500,0;1714500,113665;0,113665" o:connectangles="0,0,0,0"/>
            </v:shape>
          </w:pict>
        </mc:Fallback>
      </mc:AlternateContent>
    </w:r>
    <w:r>
      <w:rPr>
        <w:noProof/>
        <w:lang w:val="en-US"/>
      </w:rPr>
      <mc:AlternateContent>
        <mc:Choice Requires="wps">
          <w:drawing>
            <wp:anchor distT="0" distB="0" distL="0" distR="0" simplePos="0" relativeHeight="251652096" behindDoc="0" locked="0" layoutInCell="1" allowOverlap="1" wp14:anchorId="04682599" wp14:editId="2A7701E0">
              <wp:simplePos x="0" y="0"/>
              <wp:positionH relativeFrom="column">
                <wp:posOffset>3770630</wp:posOffset>
              </wp:positionH>
              <wp:positionV relativeFrom="paragraph">
                <wp:posOffset>-67310</wp:posOffset>
              </wp:positionV>
              <wp:extent cx="1589405" cy="197485"/>
              <wp:effectExtent l="2540" t="5080" r="8255" b="6985"/>
              <wp:wrapNone/>
              <wp:docPr id="42"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9405" cy="19748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A5E4E" w:rsidRDefault="005A5E4E" w:rsidP="009E009F">
                          <w:pPr>
                            <w:pStyle w:val="a0"/>
                            <w:snapToGrid w:val="0"/>
                            <w:ind w:firstLineChars="0" w:firstLine="0"/>
                            <w:jc w:val="distribute"/>
                          </w:pPr>
                          <w:r>
                            <w:rPr>
                              <w:rFonts w:ascii="華康超黑體" w:eastAsia="華康超黑體" w:hAnsi="華康超黑體"/>
                            </w:rPr>
                            <w:t>經濟環境</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31" type="#_x0000_t202" style="position:absolute;left:0;text-align:left;margin-left:296.9pt;margin-top:-5.3pt;width:125.15pt;height:15.55pt;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" stroked="f">
              <v:fill opacity="0"/>
              <v:textbox inset="0,0,0,0">
                <w:txbxContent>
                  <w:p w:rsidR="005A5E4E" w:rsidRDefault="005A5E4E" w:rsidP="009E009F">
                    <w:pPr>
                      <w:pStyle w:val="a0"/>
                      <w:snapToGrid w:val="0"/>
                      <w:ind w:firstLineChars="0" w:firstLine="0"/>
                      <w:jc w:val="distribute"/>
                    </w:pPr>
                    <w:r>
                      <w:rPr>
                        <w:rFonts w:ascii="華康超黑體" w:eastAsia="華康超黑體" w:hAnsi="華康超黑體"/>
                      </w:rPr>
                      <w:t>經濟環境</w:t>
                    </w:r>
                  </w:p>
                </w:txbxContent>
              </v:textbox>
            </v:shape>
          </w:pict>
        </mc:Fallback>
      </mc:AlternateContent>
    </w:r>
    <w:r>
      <w:rPr>
        <w:noProof/>
        <w:lang w:val="en-US"/>
      </w:rPr>
      <mc:AlternateContent>
        <mc:Choice Requires="wps">
          <w:drawing>
            <wp:anchor distT="0" distB="0" distL="114300" distR="114300" simplePos="0" relativeHeight="251653120" behindDoc="1" locked="0" layoutInCell="1" allowOverlap="1" wp14:anchorId="328FB70E" wp14:editId="4E6E7544">
              <wp:simplePos x="0" y="0"/>
              <wp:positionH relativeFrom="column">
                <wp:posOffset>0</wp:posOffset>
              </wp:positionH>
              <wp:positionV relativeFrom="paragraph">
                <wp:posOffset>-95885</wp:posOffset>
              </wp:positionV>
              <wp:extent cx="3707130" cy="337820"/>
              <wp:effectExtent l="13335" t="33655" r="13335" b="38100"/>
              <wp:wrapNone/>
              <wp:docPr id="41" name="Freeform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7130" cy="337820"/>
                      </a:xfrm>
                      <a:custGeom>
                        <a:avLst/>
                        <a:gdLst>
                          <a:gd name="G0" fmla="+- 2919 0 0"/>
                          <a:gd name="G1" fmla="+- 5838 0 0"/>
                          <a:gd name="G2" fmla="+- 266 0 0"/>
                          <a:gd name="G3" fmla="+- 533 0 0"/>
                          <a:gd name="G4" fmla="+- G3 0 G2"/>
                          <a:gd name="G5" fmla="+- G1 0 G0"/>
                          <a:gd name="G6" fmla="*/ G5 1 5838"/>
                          <a:gd name="G7" fmla="*/ G4 1 533"/>
                          <a:gd name="G8" fmla="*/ 0 G5 1"/>
                          <a:gd name="G9" fmla="*/ G8 1 5838"/>
                          <a:gd name="G10" fmla="*/ 291 G4 1"/>
                          <a:gd name="G11" fmla="*/ G10 1 533"/>
                          <a:gd name="G12" fmla="*/ 3702 G5 1"/>
                          <a:gd name="G13" fmla="*/ G12 1 5838"/>
                          <a:gd name="G14" fmla="*/ 266 G4 1"/>
                          <a:gd name="G15" fmla="*/ G14 1 533"/>
                          <a:gd name="G16" fmla="*/ 3812 G5 1"/>
                          <a:gd name="G17" fmla="*/ G16 1 5838"/>
                          <a:gd name="G18" fmla="*/ 96 G4 1"/>
                          <a:gd name="G19" fmla="*/ G18 1 533"/>
                          <a:gd name="G20" fmla="*/ 3895 G5 1"/>
                          <a:gd name="G21" fmla="*/ G20 1 5838"/>
                          <a:gd name="G22" fmla="*/ 478 G4 1"/>
                          <a:gd name="G23" fmla="*/ G22 1 533"/>
                          <a:gd name="G24" fmla="*/ 3999 G5 1"/>
                          <a:gd name="G25" fmla="*/ G24 1 5838"/>
                          <a:gd name="G26" fmla="*/ 82 G4 1"/>
                          <a:gd name="G27" fmla="*/ G26 1 533"/>
                          <a:gd name="G28" fmla="*/ 4117 G5 1"/>
                          <a:gd name="G29" fmla="*/ G28 1 5838"/>
                          <a:gd name="G30" fmla="*/ 362 G4 1"/>
                          <a:gd name="G31" fmla="*/ G30 1 533"/>
                          <a:gd name="G32" fmla="*/ 4193 G5 1"/>
                          <a:gd name="G33" fmla="*/ G32 1 5838"/>
                          <a:gd name="G34" fmla="*/ 0 G4 1"/>
                          <a:gd name="G35" fmla="*/ G34 1 533"/>
                          <a:gd name="G36" fmla="*/ 4289 G5 1"/>
                          <a:gd name="G37" fmla="*/ G36 1 5838"/>
                          <a:gd name="G38" fmla="*/ 533 G4 1"/>
                          <a:gd name="G39" fmla="*/ G38 1 533"/>
                          <a:gd name="G40" fmla="*/ 4352 G5 1"/>
                          <a:gd name="G41" fmla="*/ G40 1 5838"/>
                          <a:gd name="G42" fmla="*/ 157 G4 1"/>
                          <a:gd name="G43" fmla="*/ G42 1 533"/>
                          <a:gd name="G44" fmla="*/ 4476 G5 1"/>
                          <a:gd name="G45" fmla="*/ G44 1 5838"/>
                          <a:gd name="G46" fmla="*/ 410 G4 1"/>
                          <a:gd name="G47" fmla="*/ G46 1 533"/>
                          <a:gd name="G48" fmla="*/ 4614 G5 1"/>
                          <a:gd name="G49" fmla="*/ G48 1 5838"/>
                          <a:gd name="G50" fmla="*/ 34 G4 1"/>
                          <a:gd name="G51" fmla="*/ G50 1 533"/>
                          <a:gd name="G52" fmla="*/ 4670 G5 1"/>
                          <a:gd name="G53" fmla="*/ G52 1 5838"/>
                          <a:gd name="G54" fmla="*/ 5838 G5 1"/>
                          <a:gd name="G55" fmla="*/ G54 1 5838"/>
                          <a:gd name="G56" fmla="*/ 269 G4 1"/>
                          <a:gd name="G57" fmla="*/ G56 1 533"/>
                          <a:gd name="G58" fmla="*/ G9 1 G6"/>
                          <a:gd name="G59" fmla="*/ G11 1 G7"/>
                          <a:gd name="G60" fmla="*/ G13 1 G6"/>
                          <a:gd name="G61" fmla="*/ G15 1 G7"/>
                          <a:gd name="G62" fmla="*/ G17 1 G6"/>
                          <a:gd name="G63" fmla="*/ G19 1 G7"/>
                          <a:gd name="G64" fmla="*/ G21 1 G6"/>
                          <a:gd name="G65" fmla="*/ G23 1 G7"/>
                          <a:gd name="G66" fmla="*/ G25 1 G6"/>
                          <a:gd name="G67" fmla="*/ G27 1 G7"/>
                          <a:gd name="G68" fmla="*/ G29 1 G6"/>
                          <a:gd name="G69" fmla="*/ G31 1 G7"/>
                          <a:gd name="G70" fmla="*/ G33 1 G6"/>
                          <a:gd name="G71" fmla="*/ G35 1 G7"/>
                          <a:gd name="G72" fmla="*/ G37 1 G6"/>
                          <a:gd name="G73" fmla="*/ G39 1 G7"/>
                          <a:gd name="G74" fmla="*/ G41 1 G6"/>
                          <a:gd name="G75" fmla="*/ G43 1 G7"/>
                          <a:gd name="G76" fmla="*/ G45 1 G6"/>
                          <a:gd name="G77" fmla="*/ G47 1 G7"/>
                          <a:gd name="G78" fmla="*/ G49 1 G6"/>
                          <a:gd name="G79" fmla="*/ G51 1 G7"/>
                          <a:gd name="G80" fmla="*/ G53 1 G6"/>
                          <a:gd name="G81" fmla="*/ G55 1 G6"/>
                          <a:gd name="G82" fmla="*/ G57 1 G7"/>
                          <a:gd name="G83" fmla="*/ 0 1 G6"/>
                          <a:gd name="G84" fmla="*/ G1 1 G6"/>
                          <a:gd name="G85" fmla="*/ 0 1 G7"/>
                          <a:gd name="G86" fmla="*/ G3 1 G7"/>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 name="T26" fmla="*/ G83 w 5838"/>
                          <a:gd name="T27" fmla="*/ G85 h 533"/>
                          <a:gd name="T28" fmla="*/ G84 w 5838"/>
                          <a:gd name="T29" fmla="*/ G86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T26" t="T27" r="T28" b="T29"/>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360" cap="flat">
                        <a:solidFill>
                          <a:srgbClr val="000000"/>
                        </a:solidFill>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non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Freeform 18" o:spid="_x0000_s1026" style="position:absolute;margin-left:0;margin-top:-7.55pt;width:291.9pt;height:26.6pt;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" path="m,291l3702,266,3812,96r83,382l3999,82r118,280l4193,r96,533l4352,157r124,253l4614,34r56,232l5838,269e" filled="f" strokeweight=".26mm">
              <v:path o:connecttype="custom" o:connectlocs="0,184438;2350770,168593;2420620,60846;2473325,302961;2539365,51972;2614295,229439;2662555,0;2723515,337820;2763520,99508;2842260,259862;2929890,21549;2965450,168593;3707130,170495" o:connectangles="0,0,0,0,0,0,0,0,0,0,0,0,0" textboxrect="0,0,11676,1064"/>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A5E4E" w:rsidRDefault="005A5E4E"/>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nsid w:val="00000002"/>
    <w:multiLevelType w:val="multilevel"/>
    <w:tmpl w:val="00000002"/>
    <w:name w:val="WW8Num16"/>
    <w:lvl w:ilvl="0">
      <w:start w:val="1"/>
      <w:numFmt w:val="taiwaneseCountingThousand"/>
      <w:lvlText w:val="%1、"/>
      <w:lvlJc w:val="left"/>
      <w:pPr>
        <w:tabs>
          <w:tab w:val="num" w:pos="0"/>
        </w:tabs>
        <w:ind w:left="720" w:hanging="720"/>
      </w:pPr>
    </w:lvl>
    <w:lvl w:ilvl="1">
      <w:start w:val="1"/>
      <w:numFmt w:val="lowerLetter"/>
      <w:lvlText w:val="%2."/>
      <w:lvlJc w:val="left"/>
      <w:pPr>
        <w:tabs>
          <w:tab w:val="num" w:pos="0"/>
        </w:tabs>
        <w:ind w:left="1080" w:hanging="360"/>
      </w:pPr>
    </w:lvl>
    <w:lvl w:ilvl="2">
      <w:start w:val="1"/>
      <w:numFmt w:val="taiwaneseCountingThousand"/>
      <w:lvlText w:val="(%3)"/>
      <w:lvlJc w:val="left"/>
      <w:pPr>
        <w:tabs>
          <w:tab w:val="num" w:pos="0"/>
        </w:tabs>
        <w:ind w:left="990" w:hanging="720"/>
      </w:pPr>
      <w:rPr>
        <w:rFonts w:ascii="新細明體" w:eastAsia="新細明體" w:hAnsi="新細明體" w:cs="新細明體"/>
        <w:color w:val="000000"/>
        <w:sz w:val="24"/>
        <w:szCs w:val="24"/>
      </w:rPr>
    </w:lvl>
    <w:lvl w:ilvl="3">
      <w:start w:val="1"/>
      <w:numFmt w:val="decimal"/>
      <w:lvlText w:val="%4."/>
      <w:lvlJc w:val="left"/>
      <w:pPr>
        <w:tabs>
          <w:tab w:val="num" w:pos="0"/>
        </w:tabs>
        <w:ind w:left="99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2">
    <w:nsid w:val="00000003"/>
    <w:multiLevelType w:val="multilevel"/>
    <w:tmpl w:val="864CB2A0"/>
    <w:name w:val="WW8Num4"/>
    <w:lvl w:ilvl="0">
      <w:start w:val="1"/>
      <w:numFmt w:val="decimal"/>
      <w:lvlText w:val="%1."/>
      <w:lvlJc w:val="left"/>
      <w:pPr>
        <w:tabs>
          <w:tab w:val="num" w:pos="0"/>
        </w:tabs>
        <w:ind w:left="960" w:hanging="480"/>
      </w:pPr>
    </w:lvl>
    <w:lvl w:ilvl="1">
      <w:start w:val="1"/>
      <w:numFmt w:val="decimal"/>
      <w:lvlText w:val="（%2）"/>
      <w:lvlJc w:val="left"/>
      <w:pPr>
        <w:tabs>
          <w:tab w:val="num" w:pos="1105"/>
        </w:tabs>
        <w:ind w:left="1672" w:hanging="772"/>
      </w:pPr>
      <w:rPr>
        <w:rFonts w:hint="default"/>
      </w:rPr>
    </w:lvl>
    <w:lvl w:ilvl="2">
      <w:start w:val="1"/>
      <w:numFmt w:val="decimal"/>
      <w:lvlText w:val="（%3）"/>
      <w:lvlJc w:val="left"/>
      <w:pPr>
        <w:tabs>
          <w:tab w:val="num" w:pos="0"/>
        </w:tabs>
        <w:ind w:left="1920" w:hanging="480"/>
      </w:pPr>
      <w:rPr>
        <w:rFonts w:hint="default"/>
      </w:rPr>
    </w:lvl>
    <w:lvl w:ilvl="3">
      <w:start w:val="1"/>
      <w:numFmt w:val="decimal"/>
      <w:lvlText w:val="%4."/>
      <w:lvlJc w:val="left"/>
      <w:pPr>
        <w:tabs>
          <w:tab w:val="num" w:pos="0"/>
        </w:tabs>
        <w:ind w:left="2400" w:hanging="480"/>
      </w:pPr>
    </w:lvl>
    <w:lvl w:ilvl="4">
      <w:start w:val="1"/>
      <w:numFmt w:val="ideographTraditional"/>
      <w:lvlText w:val="%5、"/>
      <w:lvlJc w:val="left"/>
      <w:pPr>
        <w:tabs>
          <w:tab w:val="num" w:pos="0"/>
        </w:tabs>
        <w:ind w:left="2880" w:hanging="480"/>
      </w:pPr>
    </w:lvl>
    <w:lvl w:ilvl="5">
      <w:start w:val="1"/>
      <w:numFmt w:val="lowerRoman"/>
      <w:lvlText w:val="%6."/>
      <w:lvlJc w:val="right"/>
      <w:pPr>
        <w:tabs>
          <w:tab w:val="num" w:pos="0"/>
        </w:tabs>
        <w:ind w:left="3360" w:hanging="480"/>
      </w:pPr>
    </w:lvl>
    <w:lvl w:ilvl="6">
      <w:start w:val="1"/>
      <w:numFmt w:val="decimal"/>
      <w:lvlText w:val="%7."/>
      <w:lvlJc w:val="left"/>
      <w:pPr>
        <w:tabs>
          <w:tab w:val="num" w:pos="0"/>
        </w:tabs>
        <w:ind w:left="3840" w:hanging="480"/>
      </w:pPr>
    </w:lvl>
    <w:lvl w:ilvl="7">
      <w:start w:val="1"/>
      <w:numFmt w:val="ideographTraditional"/>
      <w:lvlText w:val="%8、"/>
      <w:lvlJc w:val="left"/>
      <w:pPr>
        <w:tabs>
          <w:tab w:val="num" w:pos="0"/>
        </w:tabs>
        <w:ind w:left="4320" w:hanging="480"/>
      </w:pPr>
    </w:lvl>
    <w:lvl w:ilvl="8">
      <w:start w:val="1"/>
      <w:numFmt w:val="lowerRoman"/>
      <w:lvlText w:val="%9."/>
      <w:lvlJc w:val="right"/>
      <w:pPr>
        <w:tabs>
          <w:tab w:val="num" w:pos="0"/>
        </w:tabs>
        <w:ind w:left="4800" w:hanging="480"/>
      </w:pPr>
    </w:lvl>
  </w:abstractNum>
  <w:abstractNum w:abstractNumId="3">
    <w:nsid w:val="00000004"/>
    <w:multiLevelType w:val="multilevel"/>
    <w:tmpl w:val="A426F696"/>
    <w:name w:val="WWNum1"/>
    <w:lvl w:ilvl="0">
      <w:start w:val="1"/>
      <w:numFmt w:val="taiwaneseCountingThousand"/>
      <w:lvlText w:val="%1、"/>
      <w:lvlJc w:val="left"/>
      <w:pPr>
        <w:tabs>
          <w:tab w:val="num" w:pos="0"/>
        </w:tabs>
        <w:ind w:left="480" w:hanging="480"/>
      </w:pPr>
    </w:lvl>
    <w:lvl w:ilvl="1">
      <w:start w:val="1"/>
      <w:numFmt w:val="decimal"/>
      <w:lvlText w:val="（%2）"/>
      <w:lvlJc w:val="left"/>
      <w:pPr>
        <w:tabs>
          <w:tab w:val="num" w:pos="0"/>
        </w:tabs>
        <w:ind w:left="570" w:hanging="390"/>
      </w:pPr>
      <w:rPr>
        <w:rFonts w:hint="default"/>
        <w:lang w:val="x-none"/>
      </w:rPr>
    </w:lvl>
    <w:lvl w:ilvl="2">
      <w:start w:val="1"/>
      <w:numFmt w:val="lowerRoman"/>
      <w:lvlText w:val="%3."/>
      <w:lvlJc w:val="right"/>
      <w:pPr>
        <w:tabs>
          <w:tab w:val="num" w:pos="0"/>
        </w:tabs>
        <w:ind w:left="1440" w:hanging="480"/>
      </w:pPr>
    </w:lvl>
    <w:lvl w:ilvl="3">
      <w:start w:val="1"/>
      <w:numFmt w:val="decimal"/>
      <w:lvlText w:val="%4."/>
      <w:lvlJc w:val="left"/>
      <w:pPr>
        <w:tabs>
          <w:tab w:val="num" w:pos="0"/>
        </w:tabs>
        <w:ind w:left="1920" w:hanging="480"/>
      </w:pPr>
    </w:lvl>
    <w:lvl w:ilvl="4">
      <w:start w:val="1"/>
      <w:numFmt w:val="ideographTraditional"/>
      <w:lvlText w:val="%5、"/>
      <w:lvlJc w:val="left"/>
      <w:pPr>
        <w:tabs>
          <w:tab w:val="num" w:pos="0"/>
        </w:tabs>
        <w:ind w:left="2400" w:hanging="480"/>
      </w:pPr>
    </w:lvl>
    <w:lvl w:ilvl="5">
      <w:start w:val="1"/>
      <w:numFmt w:val="lowerRoman"/>
      <w:lvlText w:val="%6."/>
      <w:lvlJc w:val="right"/>
      <w:pPr>
        <w:tabs>
          <w:tab w:val="num" w:pos="0"/>
        </w:tabs>
        <w:ind w:left="2880" w:hanging="480"/>
      </w:pPr>
    </w:lvl>
    <w:lvl w:ilvl="6">
      <w:start w:val="1"/>
      <w:numFmt w:val="decimal"/>
      <w:lvlText w:val="%7."/>
      <w:lvlJc w:val="left"/>
      <w:pPr>
        <w:tabs>
          <w:tab w:val="num" w:pos="0"/>
        </w:tabs>
        <w:ind w:left="3360" w:hanging="480"/>
      </w:pPr>
    </w:lvl>
    <w:lvl w:ilvl="7">
      <w:start w:val="1"/>
      <w:numFmt w:val="ideographTraditional"/>
      <w:lvlText w:val="%8、"/>
      <w:lvlJc w:val="left"/>
      <w:pPr>
        <w:tabs>
          <w:tab w:val="num" w:pos="0"/>
        </w:tabs>
        <w:ind w:left="3840" w:hanging="480"/>
      </w:pPr>
    </w:lvl>
    <w:lvl w:ilvl="8">
      <w:start w:val="1"/>
      <w:numFmt w:val="lowerRoman"/>
      <w:lvlText w:val="%9."/>
      <w:lvlJc w:val="right"/>
      <w:pPr>
        <w:tabs>
          <w:tab w:val="num" w:pos="0"/>
        </w:tabs>
        <w:ind w:left="4320" w:hanging="480"/>
      </w:pPr>
    </w:lvl>
  </w:abstractNum>
  <w:abstractNum w:abstractNumId="4">
    <w:nsid w:val="00000005"/>
    <w:multiLevelType w:val="multilevel"/>
    <w:tmpl w:val="00000005"/>
    <w:name w:val="WWNum2"/>
    <w:lvl w:ilvl="0">
      <w:start w:val="1"/>
      <w:numFmt w:val="decimal"/>
      <w:lvlText w:val="%1."/>
      <w:lvlJc w:val="left"/>
      <w:pPr>
        <w:tabs>
          <w:tab w:val="num" w:pos="0"/>
        </w:tabs>
        <w:ind w:left="1230" w:hanging="360"/>
      </w:pPr>
    </w:lvl>
    <w:lvl w:ilvl="1">
      <w:start w:val="1"/>
      <w:numFmt w:val="ideographTraditional"/>
      <w:lvlText w:val="%2、"/>
      <w:lvlJc w:val="left"/>
      <w:pPr>
        <w:tabs>
          <w:tab w:val="num" w:pos="0"/>
        </w:tabs>
        <w:ind w:left="1830" w:hanging="480"/>
      </w:pPr>
    </w:lvl>
    <w:lvl w:ilvl="2">
      <w:start w:val="1"/>
      <w:numFmt w:val="lowerRoman"/>
      <w:lvlText w:val="%3."/>
      <w:lvlJc w:val="right"/>
      <w:pPr>
        <w:tabs>
          <w:tab w:val="num" w:pos="0"/>
        </w:tabs>
        <w:ind w:left="2310" w:hanging="480"/>
      </w:pPr>
    </w:lvl>
    <w:lvl w:ilvl="3">
      <w:start w:val="1"/>
      <w:numFmt w:val="decimal"/>
      <w:lvlText w:val="%4."/>
      <w:lvlJc w:val="left"/>
      <w:pPr>
        <w:tabs>
          <w:tab w:val="num" w:pos="0"/>
        </w:tabs>
        <w:ind w:left="2790" w:hanging="480"/>
      </w:pPr>
    </w:lvl>
    <w:lvl w:ilvl="4">
      <w:start w:val="1"/>
      <w:numFmt w:val="ideographTraditional"/>
      <w:lvlText w:val="%5、"/>
      <w:lvlJc w:val="left"/>
      <w:pPr>
        <w:tabs>
          <w:tab w:val="num" w:pos="0"/>
        </w:tabs>
        <w:ind w:left="3270" w:hanging="480"/>
      </w:pPr>
    </w:lvl>
    <w:lvl w:ilvl="5">
      <w:start w:val="1"/>
      <w:numFmt w:val="lowerRoman"/>
      <w:lvlText w:val="%6."/>
      <w:lvlJc w:val="right"/>
      <w:pPr>
        <w:tabs>
          <w:tab w:val="num" w:pos="0"/>
        </w:tabs>
        <w:ind w:left="3750" w:hanging="480"/>
      </w:pPr>
    </w:lvl>
    <w:lvl w:ilvl="6">
      <w:start w:val="1"/>
      <w:numFmt w:val="decimal"/>
      <w:lvlText w:val="%7."/>
      <w:lvlJc w:val="left"/>
      <w:pPr>
        <w:tabs>
          <w:tab w:val="num" w:pos="0"/>
        </w:tabs>
        <w:ind w:left="4230" w:hanging="480"/>
      </w:pPr>
    </w:lvl>
    <w:lvl w:ilvl="7">
      <w:start w:val="1"/>
      <w:numFmt w:val="ideographTraditional"/>
      <w:lvlText w:val="%8、"/>
      <w:lvlJc w:val="left"/>
      <w:pPr>
        <w:tabs>
          <w:tab w:val="num" w:pos="0"/>
        </w:tabs>
        <w:ind w:left="4710" w:hanging="480"/>
      </w:pPr>
    </w:lvl>
    <w:lvl w:ilvl="8">
      <w:start w:val="1"/>
      <w:numFmt w:val="lowerRoman"/>
      <w:lvlText w:val="%9."/>
      <w:lvlJc w:val="right"/>
      <w:pPr>
        <w:tabs>
          <w:tab w:val="num" w:pos="0"/>
        </w:tabs>
        <w:ind w:left="5190" w:hanging="480"/>
      </w:pPr>
    </w:lvl>
  </w:abstractNum>
  <w:abstractNum w:abstractNumId="5">
    <w:nsid w:val="00000006"/>
    <w:multiLevelType w:val="multilevel"/>
    <w:tmpl w:val="00000006"/>
    <w:name w:val="WWNum3"/>
    <w:lvl w:ilvl="0">
      <w:start w:val="1"/>
      <w:numFmt w:val="decimal"/>
      <w:lvlText w:val="%1."/>
      <w:lvlJc w:val="left"/>
      <w:pPr>
        <w:tabs>
          <w:tab w:val="num" w:pos="0"/>
        </w:tabs>
        <w:ind w:left="1230" w:hanging="360"/>
      </w:pPr>
    </w:lvl>
    <w:lvl w:ilvl="1">
      <w:start w:val="1"/>
      <w:numFmt w:val="ideographTraditional"/>
      <w:lvlText w:val="%2、"/>
      <w:lvlJc w:val="left"/>
      <w:pPr>
        <w:tabs>
          <w:tab w:val="num" w:pos="0"/>
        </w:tabs>
        <w:ind w:left="1830" w:hanging="480"/>
      </w:pPr>
    </w:lvl>
    <w:lvl w:ilvl="2">
      <w:start w:val="1"/>
      <w:numFmt w:val="lowerRoman"/>
      <w:lvlText w:val="%3."/>
      <w:lvlJc w:val="right"/>
      <w:pPr>
        <w:tabs>
          <w:tab w:val="num" w:pos="0"/>
        </w:tabs>
        <w:ind w:left="2310" w:hanging="480"/>
      </w:pPr>
    </w:lvl>
    <w:lvl w:ilvl="3">
      <w:start w:val="1"/>
      <w:numFmt w:val="decimal"/>
      <w:lvlText w:val="%4."/>
      <w:lvlJc w:val="left"/>
      <w:pPr>
        <w:tabs>
          <w:tab w:val="num" w:pos="0"/>
        </w:tabs>
        <w:ind w:left="2790" w:hanging="480"/>
      </w:pPr>
    </w:lvl>
    <w:lvl w:ilvl="4">
      <w:start w:val="1"/>
      <w:numFmt w:val="ideographTraditional"/>
      <w:lvlText w:val="%5、"/>
      <w:lvlJc w:val="left"/>
      <w:pPr>
        <w:tabs>
          <w:tab w:val="num" w:pos="0"/>
        </w:tabs>
        <w:ind w:left="3270" w:hanging="480"/>
      </w:pPr>
    </w:lvl>
    <w:lvl w:ilvl="5">
      <w:start w:val="1"/>
      <w:numFmt w:val="lowerRoman"/>
      <w:lvlText w:val="%6."/>
      <w:lvlJc w:val="right"/>
      <w:pPr>
        <w:tabs>
          <w:tab w:val="num" w:pos="0"/>
        </w:tabs>
        <w:ind w:left="3750" w:hanging="480"/>
      </w:pPr>
    </w:lvl>
    <w:lvl w:ilvl="6">
      <w:start w:val="1"/>
      <w:numFmt w:val="decimal"/>
      <w:lvlText w:val="%7."/>
      <w:lvlJc w:val="left"/>
      <w:pPr>
        <w:tabs>
          <w:tab w:val="num" w:pos="0"/>
        </w:tabs>
        <w:ind w:left="4230" w:hanging="480"/>
      </w:pPr>
    </w:lvl>
    <w:lvl w:ilvl="7">
      <w:start w:val="1"/>
      <w:numFmt w:val="ideographTraditional"/>
      <w:lvlText w:val="%8、"/>
      <w:lvlJc w:val="left"/>
      <w:pPr>
        <w:tabs>
          <w:tab w:val="num" w:pos="0"/>
        </w:tabs>
        <w:ind w:left="4710" w:hanging="480"/>
      </w:pPr>
    </w:lvl>
    <w:lvl w:ilvl="8">
      <w:start w:val="1"/>
      <w:numFmt w:val="lowerRoman"/>
      <w:lvlText w:val="%9."/>
      <w:lvlJc w:val="right"/>
      <w:pPr>
        <w:tabs>
          <w:tab w:val="num" w:pos="0"/>
        </w:tabs>
        <w:ind w:left="5190" w:hanging="480"/>
      </w:pPr>
    </w:lvl>
  </w:abstractNum>
  <w:abstractNum w:abstractNumId="6">
    <w:nsid w:val="00000007"/>
    <w:multiLevelType w:val="multilevel"/>
    <w:tmpl w:val="00000007"/>
    <w:name w:val="WWNum4"/>
    <w:lvl w:ilvl="0">
      <w:start w:val="1"/>
      <w:numFmt w:val="decimal"/>
      <w:lvlText w:val="%1."/>
      <w:lvlJc w:val="left"/>
      <w:pPr>
        <w:tabs>
          <w:tab w:val="num" w:pos="0"/>
        </w:tabs>
        <w:ind w:left="1230" w:hanging="360"/>
      </w:pPr>
    </w:lvl>
    <w:lvl w:ilvl="1">
      <w:start w:val="1"/>
      <w:numFmt w:val="ideographTraditional"/>
      <w:lvlText w:val="%2、"/>
      <w:lvlJc w:val="left"/>
      <w:pPr>
        <w:tabs>
          <w:tab w:val="num" w:pos="0"/>
        </w:tabs>
        <w:ind w:left="1830" w:hanging="480"/>
      </w:pPr>
    </w:lvl>
    <w:lvl w:ilvl="2">
      <w:start w:val="1"/>
      <w:numFmt w:val="lowerRoman"/>
      <w:lvlText w:val="%3."/>
      <w:lvlJc w:val="right"/>
      <w:pPr>
        <w:tabs>
          <w:tab w:val="num" w:pos="0"/>
        </w:tabs>
        <w:ind w:left="2310" w:hanging="480"/>
      </w:pPr>
    </w:lvl>
    <w:lvl w:ilvl="3">
      <w:start w:val="1"/>
      <w:numFmt w:val="decimal"/>
      <w:lvlText w:val="%4."/>
      <w:lvlJc w:val="left"/>
      <w:pPr>
        <w:tabs>
          <w:tab w:val="num" w:pos="0"/>
        </w:tabs>
        <w:ind w:left="2790" w:hanging="480"/>
      </w:pPr>
    </w:lvl>
    <w:lvl w:ilvl="4">
      <w:start w:val="1"/>
      <w:numFmt w:val="ideographTraditional"/>
      <w:lvlText w:val="%5、"/>
      <w:lvlJc w:val="left"/>
      <w:pPr>
        <w:tabs>
          <w:tab w:val="num" w:pos="0"/>
        </w:tabs>
        <w:ind w:left="3270" w:hanging="480"/>
      </w:pPr>
    </w:lvl>
    <w:lvl w:ilvl="5">
      <w:start w:val="1"/>
      <w:numFmt w:val="lowerRoman"/>
      <w:lvlText w:val="%6."/>
      <w:lvlJc w:val="right"/>
      <w:pPr>
        <w:tabs>
          <w:tab w:val="num" w:pos="0"/>
        </w:tabs>
        <w:ind w:left="3750" w:hanging="480"/>
      </w:pPr>
    </w:lvl>
    <w:lvl w:ilvl="6">
      <w:start w:val="1"/>
      <w:numFmt w:val="decimal"/>
      <w:lvlText w:val="%7."/>
      <w:lvlJc w:val="left"/>
      <w:pPr>
        <w:tabs>
          <w:tab w:val="num" w:pos="0"/>
        </w:tabs>
        <w:ind w:left="4230" w:hanging="480"/>
      </w:pPr>
    </w:lvl>
    <w:lvl w:ilvl="7">
      <w:start w:val="1"/>
      <w:numFmt w:val="ideographTraditional"/>
      <w:lvlText w:val="%8、"/>
      <w:lvlJc w:val="left"/>
      <w:pPr>
        <w:tabs>
          <w:tab w:val="num" w:pos="0"/>
        </w:tabs>
        <w:ind w:left="4710" w:hanging="480"/>
      </w:pPr>
    </w:lvl>
    <w:lvl w:ilvl="8">
      <w:start w:val="1"/>
      <w:numFmt w:val="lowerRoman"/>
      <w:lvlText w:val="%9."/>
      <w:lvlJc w:val="right"/>
      <w:pPr>
        <w:tabs>
          <w:tab w:val="num" w:pos="0"/>
        </w:tabs>
        <w:ind w:left="5190" w:hanging="480"/>
      </w:pPr>
    </w:lvl>
  </w:abstractNum>
  <w:abstractNum w:abstractNumId="7">
    <w:nsid w:val="00000008"/>
    <w:multiLevelType w:val="multilevel"/>
    <w:tmpl w:val="D7E04A2E"/>
    <w:name w:val="WWNum9"/>
    <w:lvl w:ilvl="0">
      <w:start w:val="1"/>
      <w:numFmt w:val="taiwaneseCountingThousand"/>
      <w:lvlText w:val="%1、"/>
      <w:lvlJc w:val="left"/>
      <w:pPr>
        <w:tabs>
          <w:tab w:val="num" w:pos="0"/>
        </w:tabs>
        <w:ind w:left="720" w:hanging="720"/>
      </w:pPr>
    </w:lvl>
    <w:lvl w:ilvl="1">
      <w:start w:val="1"/>
      <w:numFmt w:val="lowerLetter"/>
      <w:lvlText w:val="%2."/>
      <w:lvlJc w:val="left"/>
      <w:pPr>
        <w:tabs>
          <w:tab w:val="num" w:pos="0"/>
        </w:tabs>
        <w:ind w:left="1080" w:hanging="360"/>
      </w:pPr>
    </w:lvl>
    <w:lvl w:ilvl="2">
      <w:start w:val="1"/>
      <w:numFmt w:val="decimal"/>
      <w:lvlText w:val="（%3）"/>
      <w:lvlJc w:val="left"/>
      <w:pPr>
        <w:tabs>
          <w:tab w:val="num" w:pos="0"/>
        </w:tabs>
        <w:ind w:left="2340" w:hanging="720"/>
      </w:pPr>
      <w:rPr>
        <w:rFonts w:hint="default"/>
      </w:r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8">
    <w:nsid w:val="00000009"/>
    <w:multiLevelType w:val="multilevel"/>
    <w:tmpl w:val="00000009"/>
    <w:name w:val="WWNum5"/>
    <w:lvl w:ilvl="0">
      <w:start w:val="2"/>
      <w:numFmt w:val="decimal"/>
      <w:lvlText w:val="%1."/>
      <w:lvlJc w:val="left"/>
      <w:pPr>
        <w:tabs>
          <w:tab w:val="num" w:pos="0"/>
        </w:tabs>
        <w:ind w:left="1155" w:hanging="360"/>
      </w:pPr>
    </w:lvl>
    <w:lvl w:ilvl="1">
      <w:start w:val="1"/>
      <w:numFmt w:val="decimal"/>
      <w:lvlText w:val="%2."/>
      <w:lvlJc w:val="left"/>
      <w:pPr>
        <w:tabs>
          <w:tab w:val="num" w:pos="0"/>
        </w:tabs>
        <w:ind w:left="1875" w:hanging="360"/>
      </w:pPr>
    </w:lvl>
    <w:lvl w:ilvl="2">
      <w:start w:val="1"/>
      <w:numFmt w:val="lowerRoman"/>
      <w:lvlText w:val="%3."/>
      <w:lvlJc w:val="right"/>
      <w:pPr>
        <w:tabs>
          <w:tab w:val="num" w:pos="0"/>
        </w:tabs>
        <w:ind w:left="2595" w:hanging="180"/>
      </w:pPr>
    </w:lvl>
    <w:lvl w:ilvl="3">
      <w:start w:val="1"/>
      <w:numFmt w:val="decimal"/>
      <w:lvlText w:val="%4."/>
      <w:lvlJc w:val="left"/>
      <w:pPr>
        <w:tabs>
          <w:tab w:val="num" w:pos="0"/>
        </w:tabs>
        <w:ind w:left="3315" w:hanging="360"/>
      </w:pPr>
    </w:lvl>
    <w:lvl w:ilvl="4">
      <w:start w:val="1"/>
      <w:numFmt w:val="lowerLetter"/>
      <w:lvlText w:val="%5."/>
      <w:lvlJc w:val="left"/>
      <w:pPr>
        <w:tabs>
          <w:tab w:val="num" w:pos="0"/>
        </w:tabs>
        <w:ind w:left="4035" w:hanging="360"/>
      </w:pPr>
    </w:lvl>
    <w:lvl w:ilvl="5">
      <w:start w:val="1"/>
      <w:numFmt w:val="lowerRoman"/>
      <w:lvlText w:val="%6."/>
      <w:lvlJc w:val="right"/>
      <w:pPr>
        <w:tabs>
          <w:tab w:val="num" w:pos="0"/>
        </w:tabs>
        <w:ind w:left="4755" w:hanging="180"/>
      </w:pPr>
    </w:lvl>
    <w:lvl w:ilvl="6">
      <w:start w:val="1"/>
      <w:numFmt w:val="decimal"/>
      <w:lvlText w:val="%7."/>
      <w:lvlJc w:val="left"/>
      <w:pPr>
        <w:tabs>
          <w:tab w:val="num" w:pos="0"/>
        </w:tabs>
        <w:ind w:left="5475" w:hanging="360"/>
      </w:pPr>
    </w:lvl>
    <w:lvl w:ilvl="7">
      <w:start w:val="1"/>
      <w:numFmt w:val="lowerLetter"/>
      <w:lvlText w:val="%8."/>
      <w:lvlJc w:val="left"/>
      <w:pPr>
        <w:tabs>
          <w:tab w:val="num" w:pos="0"/>
        </w:tabs>
        <w:ind w:left="6195" w:hanging="360"/>
      </w:pPr>
    </w:lvl>
    <w:lvl w:ilvl="8">
      <w:start w:val="1"/>
      <w:numFmt w:val="lowerRoman"/>
      <w:lvlText w:val="%9."/>
      <w:lvlJc w:val="right"/>
      <w:pPr>
        <w:tabs>
          <w:tab w:val="num" w:pos="0"/>
        </w:tabs>
        <w:ind w:left="6915" w:hanging="180"/>
      </w:pPr>
    </w:lvl>
  </w:abstractNum>
  <w:abstractNum w:abstractNumId="9">
    <w:nsid w:val="0000000A"/>
    <w:multiLevelType w:val="multilevel"/>
    <w:tmpl w:val="0000000A"/>
    <w:name w:val="WWNum6"/>
    <w:lvl w:ilvl="0">
      <w:start w:val="1"/>
      <w:numFmt w:val="decimal"/>
      <w:lvlText w:val="%1."/>
      <w:lvlJc w:val="left"/>
      <w:pPr>
        <w:tabs>
          <w:tab w:val="num" w:pos="0"/>
        </w:tabs>
        <w:ind w:left="1155" w:hanging="360"/>
      </w:pPr>
    </w:lvl>
    <w:lvl w:ilvl="1">
      <w:start w:val="5"/>
      <w:numFmt w:val="taiwaneseCountingThousand"/>
      <w:lvlText w:val="(%2)"/>
      <w:lvlJc w:val="left"/>
      <w:pPr>
        <w:tabs>
          <w:tab w:val="num" w:pos="0"/>
        </w:tabs>
        <w:ind w:left="2235" w:hanging="720"/>
      </w:pPr>
    </w:lvl>
    <w:lvl w:ilvl="2">
      <w:start w:val="1"/>
      <w:numFmt w:val="lowerRoman"/>
      <w:lvlText w:val="%3."/>
      <w:lvlJc w:val="right"/>
      <w:pPr>
        <w:tabs>
          <w:tab w:val="num" w:pos="0"/>
        </w:tabs>
        <w:ind w:left="2595" w:hanging="180"/>
      </w:pPr>
    </w:lvl>
    <w:lvl w:ilvl="3">
      <w:start w:val="1"/>
      <w:numFmt w:val="decimal"/>
      <w:lvlText w:val="%4."/>
      <w:lvlJc w:val="left"/>
      <w:pPr>
        <w:tabs>
          <w:tab w:val="num" w:pos="0"/>
        </w:tabs>
        <w:ind w:left="3315" w:hanging="360"/>
      </w:pPr>
    </w:lvl>
    <w:lvl w:ilvl="4">
      <w:start w:val="1"/>
      <w:numFmt w:val="lowerLetter"/>
      <w:lvlText w:val="%5."/>
      <w:lvlJc w:val="left"/>
      <w:pPr>
        <w:tabs>
          <w:tab w:val="num" w:pos="0"/>
        </w:tabs>
        <w:ind w:left="4035" w:hanging="360"/>
      </w:pPr>
    </w:lvl>
    <w:lvl w:ilvl="5">
      <w:start w:val="1"/>
      <w:numFmt w:val="lowerRoman"/>
      <w:lvlText w:val="%6."/>
      <w:lvlJc w:val="right"/>
      <w:pPr>
        <w:tabs>
          <w:tab w:val="num" w:pos="0"/>
        </w:tabs>
        <w:ind w:left="4755" w:hanging="180"/>
      </w:pPr>
    </w:lvl>
    <w:lvl w:ilvl="6">
      <w:start w:val="1"/>
      <w:numFmt w:val="decimal"/>
      <w:lvlText w:val="%7."/>
      <w:lvlJc w:val="left"/>
      <w:pPr>
        <w:tabs>
          <w:tab w:val="num" w:pos="0"/>
        </w:tabs>
        <w:ind w:left="5475" w:hanging="360"/>
      </w:pPr>
    </w:lvl>
    <w:lvl w:ilvl="7">
      <w:start w:val="1"/>
      <w:numFmt w:val="lowerLetter"/>
      <w:lvlText w:val="%8."/>
      <w:lvlJc w:val="left"/>
      <w:pPr>
        <w:tabs>
          <w:tab w:val="num" w:pos="0"/>
        </w:tabs>
        <w:ind w:left="6195" w:hanging="360"/>
      </w:pPr>
    </w:lvl>
    <w:lvl w:ilvl="8">
      <w:start w:val="1"/>
      <w:numFmt w:val="lowerRoman"/>
      <w:lvlText w:val="%9."/>
      <w:lvlJc w:val="right"/>
      <w:pPr>
        <w:tabs>
          <w:tab w:val="num" w:pos="0"/>
        </w:tabs>
        <w:ind w:left="6915" w:hanging="180"/>
      </w:pPr>
    </w:lvl>
  </w:abstractNum>
  <w:abstractNum w:abstractNumId="10">
    <w:nsid w:val="0000000B"/>
    <w:multiLevelType w:val="multilevel"/>
    <w:tmpl w:val="5AA832C0"/>
    <w:name w:val="WWNum7"/>
    <w:lvl w:ilvl="0">
      <w:start w:val="1"/>
      <w:numFmt w:val="decimal"/>
      <w:lvlText w:val="（%1）"/>
      <w:lvlJc w:val="left"/>
      <w:pPr>
        <w:tabs>
          <w:tab w:val="num" w:pos="0"/>
        </w:tabs>
        <w:ind w:left="1179" w:hanging="720"/>
      </w:pPr>
      <w:rPr>
        <w:rFonts w:hint="default"/>
        <w:lang w:val="x-none"/>
      </w:rPr>
    </w:lvl>
    <w:lvl w:ilvl="1">
      <w:start w:val="1"/>
      <w:numFmt w:val="lowerLetter"/>
      <w:lvlText w:val="%2."/>
      <w:lvlJc w:val="left"/>
      <w:pPr>
        <w:tabs>
          <w:tab w:val="num" w:pos="0"/>
        </w:tabs>
        <w:ind w:left="1539" w:hanging="360"/>
      </w:pPr>
    </w:lvl>
    <w:lvl w:ilvl="2">
      <w:start w:val="1"/>
      <w:numFmt w:val="lowerRoman"/>
      <w:lvlText w:val="%3."/>
      <w:lvlJc w:val="right"/>
      <w:pPr>
        <w:tabs>
          <w:tab w:val="num" w:pos="0"/>
        </w:tabs>
        <w:ind w:left="2259" w:hanging="180"/>
      </w:pPr>
    </w:lvl>
    <w:lvl w:ilvl="3">
      <w:start w:val="1"/>
      <w:numFmt w:val="decimal"/>
      <w:lvlText w:val="%4."/>
      <w:lvlJc w:val="left"/>
      <w:pPr>
        <w:tabs>
          <w:tab w:val="num" w:pos="0"/>
        </w:tabs>
        <w:ind w:left="2979" w:hanging="360"/>
      </w:pPr>
    </w:lvl>
    <w:lvl w:ilvl="4">
      <w:start w:val="1"/>
      <w:numFmt w:val="lowerLetter"/>
      <w:lvlText w:val="%5."/>
      <w:lvlJc w:val="left"/>
      <w:pPr>
        <w:tabs>
          <w:tab w:val="num" w:pos="0"/>
        </w:tabs>
        <w:ind w:left="3699" w:hanging="360"/>
      </w:pPr>
    </w:lvl>
    <w:lvl w:ilvl="5">
      <w:start w:val="1"/>
      <w:numFmt w:val="lowerRoman"/>
      <w:lvlText w:val="%6."/>
      <w:lvlJc w:val="right"/>
      <w:pPr>
        <w:tabs>
          <w:tab w:val="num" w:pos="0"/>
        </w:tabs>
        <w:ind w:left="4419" w:hanging="180"/>
      </w:pPr>
    </w:lvl>
    <w:lvl w:ilvl="6">
      <w:start w:val="1"/>
      <w:numFmt w:val="decimal"/>
      <w:lvlText w:val="%7."/>
      <w:lvlJc w:val="left"/>
      <w:pPr>
        <w:tabs>
          <w:tab w:val="num" w:pos="0"/>
        </w:tabs>
        <w:ind w:left="5139" w:hanging="360"/>
      </w:pPr>
    </w:lvl>
    <w:lvl w:ilvl="7">
      <w:start w:val="1"/>
      <w:numFmt w:val="lowerLetter"/>
      <w:lvlText w:val="%8."/>
      <w:lvlJc w:val="left"/>
      <w:pPr>
        <w:tabs>
          <w:tab w:val="num" w:pos="0"/>
        </w:tabs>
        <w:ind w:left="5859" w:hanging="360"/>
      </w:pPr>
    </w:lvl>
    <w:lvl w:ilvl="8">
      <w:start w:val="1"/>
      <w:numFmt w:val="lowerRoman"/>
      <w:lvlText w:val="%9."/>
      <w:lvlJc w:val="right"/>
      <w:pPr>
        <w:tabs>
          <w:tab w:val="num" w:pos="0"/>
        </w:tabs>
        <w:ind w:left="6579" w:hanging="180"/>
      </w:pPr>
    </w:lvl>
  </w:abstractNum>
  <w:abstractNum w:abstractNumId="11">
    <w:nsid w:val="0000000C"/>
    <w:multiLevelType w:val="multilevel"/>
    <w:tmpl w:val="0000000C"/>
    <w:name w:val="WWNum8"/>
    <w:lvl w:ilvl="0">
      <w:start w:val="1"/>
      <w:numFmt w:val="decimal"/>
      <w:lvlText w:val="%1."/>
      <w:lvlJc w:val="left"/>
      <w:pPr>
        <w:tabs>
          <w:tab w:val="num" w:pos="0"/>
        </w:tabs>
        <w:ind w:left="1539" w:hanging="360"/>
      </w:pPr>
    </w:lvl>
    <w:lvl w:ilvl="1">
      <w:start w:val="1"/>
      <w:numFmt w:val="lowerLetter"/>
      <w:lvlText w:val="%2."/>
      <w:lvlJc w:val="left"/>
      <w:pPr>
        <w:tabs>
          <w:tab w:val="num" w:pos="0"/>
        </w:tabs>
        <w:ind w:left="2259" w:hanging="360"/>
      </w:pPr>
    </w:lvl>
    <w:lvl w:ilvl="2">
      <w:start w:val="1"/>
      <w:numFmt w:val="lowerRoman"/>
      <w:lvlText w:val="%3."/>
      <w:lvlJc w:val="right"/>
      <w:pPr>
        <w:tabs>
          <w:tab w:val="num" w:pos="0"/>
        </w:tabs>
        <w:ind w:left="2979" w:hanging="180"/>
      </w:pPr>
    </w:lvl>
    <w:lvl w:ilvl="3">
      <w:start w:val="1"/>
      <w:numFmt w:val="decimal"/>
      <w:lvlText w:val="%4."/>
      <w:lvlJc w:val="left"/>
      <w:pPr>
        <w:tabs>
          <w:tab w:val="num" w:pos="0"/>
        </w:tabs>
        <w:ind w:left="3699" w:hanging="360"/>
      </w:pPr>
    </w:lvl>
    <w:lvl w:ilvl="4">
      <w:start w:val="1"/>
      <w:numFmt w:val="lowerLetter"/>
      <w:lvlText w:val="%5."/>
      <w:lvlJc w:val="left"/>
      <w:pPr>
        <w:tabs>
          <w:tab w:val="num" w:pos="0"/>
        </w:tabs>
        <w:ind w:left="4419" w:hanging="360"/>
      </w:pPr>
    </w:lvl>
    <w:lvl w:ilvl="5">
      <w:start w:val="1"/>
      <w:numFmt w:val="lowerRoman"/>
      <w:lvlText w:val="%6."/>
      <w:lvlJc w:val="right"/>
      <w:pPr>
        <w:tabs>
          <w:tab w:val="num" w:pos="0"/>
        </w:tabs>
        <w:ind w:left="5139" w:hanging="180"/>
      </w:pPr>
    </w:lvl>
    <w:lvl w:ilvl="6">
      <w:start w:val="1"/>
      <w:numFmt w:val="decimal"/>
      <w:lvlText w:val="%7."/>
      <w:lvlJc w:val="left"/>
      <w:pPr>
        <w:tabs>
          <w:tab w:val="num" w:pos="0"/>
        </w:tabs>
        <w:ind w:left="5859" w:hanging="360"/>
      </w:pPr>
    </w:lvl>
    <w:lvl w:ilvl="7">
      <w:start w:val="1"/>
      <w:numFmt w:val="lowerLetter"/>
      <w:lvlText w:val="%8."/>
      <w:lvlJc w:val="left"/>
      <w:pPr>
        <w:tabs>
          <w:tab w:val="num" w:pos="0"/>
        </w:tabs>
        <w:ind w:left="6579" w:hanging="360"/>
      </w:pPr>
    </w:lvl>
    <w:lvl w:ilvl="8">
      <w:start w:val="1"/>
      <w:numFmt w:val="lowerRoman"/>
      <w:lvlText w:val="%9."/>
      <w:lvlJc w:val="right"/>
      <w:pPr>
        <w:tabs>
          <w:tab w:val="num" w:pos="0"/>
        </w:tabs>
        <w:ind w:left="7299" w:hanging="180"/>
      </w:pPr>
    </w:lvl>
  </w:abstractNum>
  <w:abstractNum w:abstractNumId="12">
    <w:nsid w:val="0000000D"/>
    <w:multiLevelType w:val="multilevel"/>
    <w:tmpl w:val="2A4CFB42"/>
    <w:name w:val="WW8Num8"/>
    <w:lvl w:ilvl="0">
      <w:start w:val="2"/>
      <w:numFmt w:val="taiwaneseCountingThousand"/>
      <w:lvlText w:val="(%1)"/>
      <w:lvlJc w:val="left"/>
      <w:pPr>
        <w:tabs>
          <w:tab w:val="num" w:pos="0"/>
        </w:tabs>
        <w:ind w:left="480" w:hanging="480"/>
      </w:pPr>
      <w:rPr>
        <w:rFonts w:ascii="新細明體" w:eastAsia="新細明體" w:hAnsi="新細明體" w:cs="新細明體" w:hint="eastAsia"/>
        <w:color w:val="000000"/>
        <w:sz w:val="24"/>
        <w:szCs w:val="24"/>
        <w:lang w:eastAsia="zh-TW"/>
      </w:rPr>
    </w:lvl>
    <w:lvl w:ilvl="1">
      <w:start w:val="3"/>
      <w:numFmt w:val="decimalFullWidth"/>
      <w:lvlText w:val="%2、"/>
      <w:lvlJc w:val="left"/>
      <w:pPr>
        <w:tabs>
          <w:tab w:val="num" w:pos="906"/>
        </w:tabs>
        <w:ind w:left="906" w:hanging="480"/>
      </w:pPr>
      <w:rPr>
        <w:rFonts w:hint="default"/>
        <w:b/>
        <w:bCs/>
        <w:color w:val="000000"/>
        <w:kern w:val="1"/>
        <w:sz w:val="24"/>
        <w:szCs w:val="24"/>
        <w:lang w:eastAsia="zh-TW"/>
      </w:rPr>
    </w:lvl>
    <w:lvl w:ilvl="2">
      <w:start w:val="1"/>
      <w:numFmt w:val="decimal"/>
      <w:lvlText w:val="（%3）"/>
      <w:lvlJc w:val="left"/>
      <w:pPr>
        <w:tabs>
          <w:tab w:val="num" w:pos="1680"/>
        </w:tabs>
        <w:ind w:left="1680" w:hanging="720"/>
      </w:pPr>
      <w:rPr>
        <w:rFonts w:ascii="新細明體" w:eastAsia="新細明體" w:hAnsi="新細明體" w:cs="新細明體" w:hint="eastAsia"/>
        <w:color w:val="000000"/>
        <w:sz w:val="24"/>
        <w:szCs w:val="24"/>
        <w:lang w:eastAsia="zh-TW"/>
      </w:rPr>
    </w:lvl>
    <w:lvl w:ilvl="3">
      <w:start w:val="1"/>
      <w:numFmt w:val="lowerRoman"/>
      <w:lvlText w:val="(%4)"/>
      <w:lvlJc w:val="left"/>
      <w:pPr>
        <w:tabs>
          <w:tab w:val="num" w:pos="2160"/>
        </w:tabs>
        <w:ind w:left="2160" w:hanging="720"/>
      </w:pPr>
      <w:rPr>
        <w:rFonts w:hint="eastAsia"/>
        <w:color w:val="000000"/>
      </w:rPr>
    </w:lvl>
    <w:lvl w:ilvl="4">
      <w:start w:val="1"/>
      <w:numFmt w:val="ideographTraditional"/>
      <w:lvlText w:val="%5、"/>
      <w:lvlJc w:val="left"/>
      <w:pPr>
        <w:tabs>
          <w:tab w:val="num" w:pos="0"/>
        </w:tabs>
        <w:ind w:left="2400" w:hanging="480"/>
      </w:pPr>
      <w:rPr>
        <w:rFonts w:hint="eastAsia"/>
      </w:rPr>
    </w:lvl>
    <w:lvl w:ilvl="5">
      <w:start w:val="1"/>
      <w:numFmt w:val="lowerRoman"/>
      <w:lvlText w:val="%6."/>
      <w:lvlJc w:val="right"/>
      <w:pPr>
        <w:tabs>
          <w:tab w:val="num" w:pos="0"/>
        </w:tabs>
        <w:ind w:left="2880" w:hanging="480"/>
      </w:pPr>
      <w:rPr>
        <w:rFonts w:hint="eastAsia"/>
      </w:rPr>
    </w:lvl>
    <w:lvl w:ilvl="6">
      <w:start w:val="1"/>
      <w:numFmt w:val="decimal"/>
      <w:lvlText w:val="%7."/>
      <w:lvlJc w:val="left"/>
      <w:pPr>
        <w:tabs>
          <w:tab w:val="num" w:pos="0"/>
        </w:tabs>
        <w:ind w:left="3360" w:hanging="480"/>
      </w:pPr>
      <w:rPr>
        <w:rFonts w:hint="eastAsia"/>
      </w:rPr>
    </w:lvl>
    <w:lvl w:ilvl="7">
      <w:start w:val="1"/>
      <w:numFmt w:val="ideographTraditional"/>
      <w:lvlText w:val="%8、"/>
      <w:lvlJc w:val="left"/>
      <w:pPr>
        <w:tabs>
          <w:tab w:val="num" w:pos="0"/>
        </w:tabs>
        <w:ind w:left="3840" w:hanging="480"/>
      </w:pPr>
      <w:rPr>
        <w:rFonts w:hint="eastAsia"/>
      </w:rPr>
    </w:lvl>
    <w:lvl w:ilvl="8">
      <w:start w:val="1"/>
      <w:numFmt w:val="lowerRoman"/>
      <w:lvlText w:val="%9."/>
      <w:lvlJc w:val="right"/>
      <w:pPr>
        <w:tabs>
          <w:tab w:val="num" w:pos="0"/>
        </w:tabs>
        <w:ind w:left="4320" w:hanging="480"/>
      </w:pPr>
      <w:rPr>
        <w:rFonts w:hint="eastAsia"/>
      </w:rPr>
    </w:lvl>
  </w:abstractNum>
  <w:abstractNum w:abstractNumId="13">
    <w:nsid w:val="0000000E"/>
    <w:multiLevelType w:val="multilevel"/>
    <w:tmpl w:val="0876E92A"/>
    <w:lvl w:ilvl="0">
      <w:start w:val="1"/>
      <w:numFmt w:val="decimal"/>
      <w:lvlText w:val="%1."/>
      <w:lvlJc w:val="left"/>
      <w:pPr>
        <w:tabs>
          <w:tab w:val="num" w:pos="0"/>
        </w:tabs>
        <w:ind w:left="960" w:hanging="480"/>
      </w:pPr>
    </w:lvl>
    <w:lvl w:ilvl="1">
      <w:start w:val="1"/>
      <w:numFmt w:val="upperRoman"/>
      <w:lvlText w:val="%2."/>
      <w:lvlJc w:val="left"/>
      <w:pPr>
        <w:tabs>
          <w:tab w:val="num" w:pos="1105"/>
        </w:tabs>
        <w:ind w:left="1672" w:hanging="772"/>
      </w:pPr>
    </w:lvl>
    <w:lvl w:ilvl="2">
      <w:start w:val="1"/>
      <w:numFmt w:val="decimal"/>
      <w:lvlText w:val="（%3）"/>
      <w:lvlJc w:val="left"/>
      <w:pPr>
        <w:tabs>
          <w:tab w:val="num" w:pos="0"/>
        </w:tabs>
        <w:ind w:left="1920" w:hanging="480"/>
      </w:pPr>
      <w:rPr>
        <w:rFonts w:hint="default"/>
      </w:rPr>
    </w:lvl>
    <w:lvl w:ilvl="3">
      <w:start w:val="1"/>
      <w:numFmt w:val="decimal"/>
      <w:lvlText w:val="%4."/>
      <w:lvlJc w:val="left"/>
      <w:pPr>
        <w:tabs>
          <w:tab w:val="num" w:pos="0"/>
        </w:tabs>
        <w:ind w:left="2400" w:hanging="480"/>
      </w:pPr>
    </w:lvl>
    <w:lvl w:ilvl="4">
      <w:start w:val="1"/>
      <w:numFmt w:val="ideographTraditional"/>
      <w:lvlText w:val="%5、"/>
      <w:lvlJc w:val="left"/>
      <w:pPr>
        <w:tabs>
          <w:tab w:val="num" w:pos="0"/>
        </w:tabs>
        <w:ind w:left="2880" w:hanging="480"/>
      </w:pPr>
    </w:lvl>
    <w:lvl w:ilvl="5">
      <w:start w:val="1"/>
      <w:numFmt w:val="lowerRoman"/>
      <w:lvlText w:val="%6."/>
      <w:lvlJc w:val="right"/>
      <w:pPr>
        <w:tabs>
          <w:tab w:val="num" w:pos="0"/>
        </w:tabs>
        <w:ind w:left="3360" w:hanging="480"/>
      </w:pPr>
    </w:lvl>
    <w:lvl w:ilvl="6">
      <w:start w:val="1"/>
      <w:numFmt w:val="decimal"/>
      <w:lvlText w:val="%7."/>
      <w:lvlJc w:val="left"/>
      <w:pPr>
        <w:tabs>
          <w:tab w:val="num" w:pos="0"/>
        </w:tabs>
        <w:ind w:left="3840" w:hanging="480"/>
      </w:pPr>
    </w:lvl>
    <w:lvl w:ilvl="7">
      <w:start w:val="1"/>
      <w:numFmt w:val="ideographTraditional"/>
      <w:lvlText w:val="%8、"/>
      <w:lvlJc w:val="left"/>
      <w:pPr>
        <w:tabs>
          <w:tab w:val="num" w:pos="0"/>
        </w:tabs>
        <w:ind w:left="4320" w:hanging="480"/>
      </w:pPr>
    </w:lvl>
    <w:lvl w:ilvl="8">
      <w:start w:val="1"/>
      <w:numFmt w:val="lowerRoman"/>
      <w:lvlText w:val="%9."/>
      <w:lvlJc w:val="right"/>
      <w:pPr>
        <w:tabs>
          <w:tab w:val="num" w:pos="0"/>
        </w:tabs>
        <w:ind w:left="4800" w:hanging="480"/>
      </w:pPr>
    </w:lvl>
  </w:abstractNum>
  <w:abstractNum w:abstractNumId="14">
    <w:nsid w:val="0E1D244D"/>
    <w:multiLevelType w:val="multilevel"/>
    <w:tmpl w:val="27763398"/>
    <w:lvl w:ilvl="0">
      <w:start w:val="1"/>
      <w:numFmt w:val="decimalFullWidth"/>
      <w:lvlText w:val="%1、"/>
      <w:lvlJc w:val="left"/>
      <w:pPr>
        <w:ind w:left="840" w:hanging="360"/>
      </w:pPr>
      <w:rPr>
        <w:rFonts w:hint="default"/>
      </w:r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15">
    <w:nsid w:val="171E19A9"/>
    <w:multiLevelType w:val="hybridMultilevel"/>
    <w:tmpl w:val="21BA386A"/>
    <w:lvl w:ilvl="0" w:tplc="2E062388">
      <w:start w:val="1"/>
      <w:numFmt w:val="decimalFullWidth"/>
      <w:lvlText w:val="%1、"/>
      <w:lvlJc w:val="left"/>
      <w:pPr>
        <w:ind w:left="1424" w:hanging="48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16">
    <w:nsid w:val="1B3E5A9B"/>
    <w:multiLevelType w:val="multilevel"/>
    <w:tmpl w:val="F7F2BD90"/>
    <w:lvl w:ilvl="0">
      <w:start w:val="2"/>
      <w:numFmt w:val="taiwaneseCountingThousand"/>
      <w:lvlText w:val="（%1）"/>
      <w:lvlJc w:val="left"/>
      <w:pPr>
        <w:ind w:left="1004" w:hanging="720"/>
      </w:pPr>
    </w:lvl>
    <w:lvl w:ilvl="1">
      <w:start w:val="1"/>
      <w:numFmt w:val="ideographTraditional"/>
      <w:lvlText w:val="%2、"/>
      <w:lvlJc w:val="left"/>
      <w:pPr>
        <w:ind w:left="1196" w:hanging="480"/>
      </w:pPr>
    </w:lvl>
    <w:lvl w:ilvl="2">
      <w:start w:val="1"/>
      <w:numFmt w:val="lowerRoman"/>
      <w:lvlText w:val="%3."/>
      <w:lvlJc w:val="right"/>
      <w:pPr>
        <w:ind w:left="1676" w:hanging="480"/>
      </w:pPr>
    </w:lvl>
    <w:lvl w:ilvl="3">
      <w:start w:val="1"/>
      <w:numFmt w:val="decimal"/>
      <w:lvlText w:val="%4."/>
      <w:lvlJc w:val="left"/>
      <w:pPr>
        <w:ind w:left="2156" w:hanging="480"/>
      </w:p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FullWidth"/>
      <w:lvlText w:val="%7、"/>
      <w:lvlJc w:val="left"/>
      <w:pPr>
        <w:ind w:left="3596" w:hanging="480"/>
      </w:pPr>
      <w:rPr>
        <w:rFonts w:hint="default"/>
      </w:rPr>
    </w:lvl>
    <w:lvl w:ilvl="7">
      <w:start w:val="1"/>
      <w:numFmt w:val="ideographTraditional"/>
      <w:lvlText w:val="%8、"/>
      <w:lvlJc w:val="left"/>
      <w:pPr>
        <w:ind w:left="4076" w:hanging="480"/>
      </w:pPr>
    </w:lvl>
    <w:lvl w:ilvl="8">
      <w:start w:val="1"/>
      <w:numFmt w:val="lowerRoman"/>
      <w:lvlText w:val="%9."/>
      <w:lvlJc w:val="right"/>
      <w:pPr>
        <w:ind w:left="4556" w:hanging="480"/>
      </w:pPr>
    </w:lvl>
  </w:abstractNum>
  <w:abstractNum w:abstractNumId="17">
    <w:nsid w:val="1C3563D4"/>
    <w:multiLevelType w:val="hybridMultilevel"/>
    <w:tmpl w:val="0D2EFEC2"/>
    <w:lvl w:ilvl="0" w:tplc="0409000F">
      <w:start w:val="1"/>
      <w:numFmt w:val="decimal"/>
      <w:lvlText w:val="%1."/>
      <w:lvlJc w:val="left"/>
      <w:pPr>
        <w:ind w:left="952" w:hanging="480"/>
      </w:pPr>
    </w:lvl>
    <w:lvl w:ilvl="1" w:tplc="04090019" w:tentative="1">
      <w:start w:val="1"/>
      <w:numFmt w:val="ideographTraditional"/>
      <w:lvlText w:val="%2、"/>
      <w:lvlJc w:val="left"/>
      <w:pPr>
        <w:ind w:left="1432" w:hanging="480"/>
      </w:pPr>
    </w:lvl>
    <w:lvl w:ilvl="2" w:tplc="0409001B" w:tentative="1">
      <w:start w:val="1"/>
      <w:numFmt w:val="lowerRoman"/>
      <w:lvlText w:val="%3."/>
      <w:lvlJc w:val="right"/>
      <w:pPr>
        <w:ind w:left="1912" w:hanging="480"/>
      </w:pPr>
    </w:lvl>
    <w:lvl w:ilvl="3" w:tplc="0409000F" w:tentative="1">
      <w:start w:val="1"/>
      <w:numFmt w:val="decimal"/>
      <w:lvlText w:val="%4."/>
      <w:lvlJc w:val="left"/>
      <w:pPr>
        <w:ind w:left="2392" w:hanging="480"/>
      </w:pPr>
    </w:lvl>
    <w:lvl w:ilvl="4" w:tplc="04090019" w:tentative="1">
      <w:start w:val="1"/>
      <w:numFmt w:val="ideographTraditional"/>
      <w:lvlText w:val="%5、"/>
      <w:lvlJc w:val="left"/>
      <w:pPr>
        <w:ind w:left="2872" w:hanging="480"/>
      </w:pPr>
    </w:lvl>
    <w:lvl w:ilvl="5" w:tplc="0409001B" w:tentative="1">
      <w:start w:val="1"/>
      <w:numFmt w:val="lowerRoman"/>
      <w:lvlText w:val="%6."/>
      <w:lvlJc w:val="right"/>
      <w:pPr>
        <w:ind w:left="3352" w:hanging="480"/>
      </w:pPr>
    </w:lvl>
    <w:lvl w:ilvl="6" w:tplc="0409000F" w:tentative="1">
      <w:start w:val="1"/>
      <w:numFmt w:val="decimal"/>
      <w:lvlText w:val="%7."/>
      <w:lvlJc w:val="left"/>
      <w:pPr>
        <w:ind w:left="3832" w:hanging="480"/>
      </w:pPr>
    </w:lvl>
    <w:lvl w:ilvl="7" w:tplc="04090019" w:tentative="1">
      <w:start w:val="1"/>
      <w:numFmt w:val="ideographTraditional"/>
      <w:lvlText w:val="%8、"/>
      <w:lvlJc w:val="left"/>
      <w:pPr>
        <w:ind w:left="4312" w:hanging="480"/>
      </w:pPr>
    </w:lvl>
    <w:lvl w:ilvl="8" w:tplc="0409001B" w:tentative="1">
      <w:start w:val="1"/>
      <w:numFmt w:val="lowerRoman"/>
      <w:lvlText w:val="%9."/>
      <w:lvlJc w:val="right"/>
      <w:pPr>
        <w:ind w:left="4792" w:hanging="480"/>
      </w:pPr>
    </w:lvl>
  </w:abstractNum>
  <w:abstractNum w:abstractNumId="18">
    <w:nsid w:val="20AD49B0"/>
    <w:multiLevelType w:val="hybridMultilevel"/>
    <w:tmpl w:val="8410D09A"/>
    <w:lvl w:ilvl="0" w:tplc="C33C6BB4">
      <w:start w:val="1"/>
      <w:numFmt w:val="decimalFullWidth"/>
      <w:lvlText w:val="%1、"/>
      <w:lvlJc w:val="left"/>
      <w:pPr>
        <w:ind w:left="1188" w:hanging="480"/>
      </w:pPr>
      <w:rPr>
        <w:rFonts w:hint="default"/>
      </w:rPr>
    </w:lvl>
    <w:lvl w:ilvl="1" w:tplc="04090019" w:tentative="1">
      <w:start w:val="1"/>
      <w:numFmt w:val="ideographTraditional"/>
      <w:lvlText w:val="%2、"/>
      <w:lvlJc w:val="left"/>
      <w:pPr>
        <w:ind w:left="1668" w:hanging="480"/>
      </w:pPr>
    </w:lvl>
    <w:lvl w:ilvl="2" w:tplc="0409001B" w:tentative="1">
      <w:start w:val="1"/>
      <w:numFmt w:val="lowerRoman"/>
      <w:lvlText w:val="%3."/>
      <w:lvlJc w:val="right"/>
      <w:pPr>
        <w:ind w:left="2148" w:hanging="480"/>
      </w:pPr>
    </w:lvl>
    <w:lvl w:ilvl="3" w:tplc="0409000F" w:tentative="1">
      <w:start w:val="1"/>
      <w:numFmt w:val="decimal"/>
      <w:lvlText w:val="%4."/>
      <w:lvlJc w:val="left"/>
      <w:pPr>
        <w:ind w:left="2628" w:hanging="480"/>
      </w:pPr>
    </w:lvl>
    <w:lvl w:ilvl="4" w:tplc="04090019" w:tentative="1">
      <w:start w:val="1"/>
      <w:numFmt w:val="ideographTraditional"/>
      <w:lvlText w:val="%5、"/>
      <w:lvlJc w:val="left"/>
      <w:pPr>
        <w:ind w:left="3108" w:hanging="480"/>
      </w:pPr>
    </w:lvl>
    <w:lvl w:ilvl="5" w:tplc="0409001B" w:tentative="1">
      <w:start w:val="1"/>
      <w:numFmt w:val="lowerRoman"/>
      <w:lvlText w:val="%6."/>
      <w:lvlJc w:val="right"/>
      <w:pPr>
        <w:ind w:left="3588" w:hanging="480"/>
      </w:pPr>
    </w:lvl>
    <w:lvl w:ilvl="6" w:tplc="0409000F" w:tentative="1">
      <w:start w:val="1"/>
      <w:numFmt w:val="decimal"/>
      <w:lvlText w:val="%7."/>
      <w:lvlJc w:val="left"/>
      <w:pPr>
        <w:ind w:left="4068" w:hanging="480"/>
      </w:pPr>
    </w:lvl>
    <w:lvl w:ilvl="7" w:tplc="04090019" w:tentative="1">
      <w:start w:val="1"/>
      <w:numFmt w:val="ideographTraditional"/>
      <w:lvlText w:val="%8、"/>
      <w:lvlJc w:val="left"/>
      <w:pPr>
        <w:ind w:left="4548" w:hanging="480"/>
      </w:pPr>
    </w:lvl>
    <w:lvl w:ilvl="8" w:tplc="0409001B" w:tentative="1">
      <w:start w:val="1"/>
      <w:numFmt w:val="lowerRoman"/>
      <w:lvlText w:val="%9."/>
      <w:lvlJc w:val="right"/>
      <w:pPr>
        <w:ind w:left="5028" w:hanging="480"/>
      </w:pPr>
    </w:lvl>
  </w:abstractNum>
  <w:abstractNum w:abstractNumId="19">
    <w:nsid w:val="21B30F79"/>
    <w:multiLevelType w:val="hybridMultilevel"/>
    <w:tmpl w:val="8CD0728A"/>
    <w:lvl w:ilvl="0" w:tplc="B6BAA7D8">
      <w:start w:val="1"/>
      <w:numFmt w:val="decimal"/>
      <w:lvlText w:val="（%1）"/>
      <w:lvlJc w:val="left"/>
      <w:pPr>
        <w:ind w:left="1304" w:hanging="36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20">
    <w:nsid w:val="289815C8"/>
    <w:multiLevelType w:val="hybridMultilevel"/>
    <w:tmpl w:val="F392C1EA"/>
    <w:lvl w:ilvl="0" w:tplc="C6BE168E">
      <w:start w:val="1"/>
      <w:numFmt w:val="taiwaneseCountingThousand"/>
      <w:lvlText w:val="（%1）"/>
      <w:lvlJc w:val="left"/>
      <w:pPr>
        <w:ind w:left="1380" w:hanging="480"/>
      </w:pPr>
      <w:rPr>
        <w:rFonts w:hint="eastAsia"/>
        <w:lang w:val="x-none"/>
      </w:rPr>
    </w:lvl>
    <w:lvl w:ilvl="1" w:tplc="04090019" w:tentative="1">
      <w:start w:val="1"/>
      <w:numFmt w:val="ideographTraditional"/>
      <w:lvlText w:val="%2、"/>
      <w:lvlJc w:val="left"/>
      <w:pPr>
        <w:ind w:left="1860" w:hanging="480"/>
      </w:pPr>
    </w:lvl>
    <w:lvl w:ilvl="2" w:tplc="0409001B" w:tentative="1">
      <w:start w:val="1"/>
      <w:numFmt w:val="lowerRoman"/>
      <w:lvlText w:val="%3."/>
      <w:lvlJc w:val="right"/>
      <w:pPr>
        <w:ind w:left="2340" w:hanging="480"/>
      </w:pPr>
    </w:lvl>
    <w:lvl w:ilvl="3" w:tplc="0409000F" w:tentative="1">
      <w:start w:val="1"/>
      <w:numFmt w:val="decimal"/>
      <w:lvlText w:val="%4."/>
      <w:lvlJc w:val="left"/>
      <w:pPr>
        <w:ind w:left="2820" w:hanging="480"/>
      </w:pPr>
    </w:lvl>
    <w:lvl w:ilvl="4" w:tplc="04090019" w:tentative="1">
      <w:start w:val="1"/>
      <w:numFmt w:val="ideographTraditional"/>
      <w:lvlText w:val="%5、"/>
      <w:lvlJc w:val="left"/>
      <w:pPr>
        <w:ind w:left="3300" w:hanging="480"/>
      </w:pPr>
    </w:lvl>
    <w:lvl w:ilvl="5" w:tplc="0409001B" w:tentative="1">
      <w:start w:val="1"/>
      <w:numFmt w:val="lowerRoman"/>
      <w:lvlText w:val="%6."/>
      <w:lvlJc w:val="right"/>
      <w:pPr>
        <w:ind w:left="3780" w:hanging="480"/>
      </w:pPr>
    </w:lvl>
    <w:lvl w:ilvl="6" w:tplc="0409000F" w:tentative="1">
      <w:start w:val="1"/>
      <w:numFmt w:val="decimal"/>
      <w:lvlText w:val="%7."/>
      <w:lvlJc w:val="left"/>
      <w:pPr>
        <w:ind w:left="4260" w:hanging="480"/>
      </w:pPr>
    </w:lvl>
    <w:lvl w:ilvl="7" w:tplc="04090019" w:tentative="1">
      <w:start w:val="1"/>
      <w:numFmt w:val="ideographTraditional"/>
      <w:lvlText w:val="%8、"/>
      <w:lvlJc w:val="left"/>
      <w:pPr>
        <w:ind w:left="4740" w:hanging="480"/>
      </w:pPr>
    </w:lvl>
    <w:lvl w:ilvl="8" w:tplc="0409001B" w:tentative="1">
      <w:start w:val="1"/>
      <w:numFmt w:val="lowerRoman"/>
      <w:lvlText w:val="%9."/>
      <w:lvlJc w:val="right"/>
      <w:pPr>
        <w:ind w:left="5220" w:hanging="480"/>
      </w:pPr>
    </w:lvl>
  </w:abstractNum>
  <w:abstractNum w:abstractNumId="21">
    <w:nsid w:val="29FA0E46"/>
    <w:multiLevelType w:val="multilevel"/>
    <w:tmpl w:val="CB8A042C"/>
    <w:lvl w:ilvl="0">
      <w:start w:val="1"/>
      <w:numFmt w:val="decimalFullWidth"/>
      <w:lvlText w:val="%1、"/>
      <w:lvlJc w:val="left"/>
      <w:pPr>
        <w:ind w:left="840" w:hanging="360"/>
      </w:pPr>
      <w:rPr>
        <w:rFonts w:hint="default"/>
      </w:rPr>
    </w:lvl>
    <w:lvl w:ilvl="1">
      <w:start w:val="1"/>
      <w:numFmt w:val="taiwaneseCountingThousand"/>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22">
    <w:nsid w:val="2BDB36C6"/>
    <w:multiLevelType w:val="multilevel"/>
    <w:tmpl w:val="F2E28028"/>
    <w:lvl w:ilvl="0">
      <w:start w:val="1"/>
      <w:numFmt w:val="taiwaneseCountingThousand"/>
      <w:lvlText w:val="（%1）"/>
      <w:lvlJc w:val="left"/>
      <w:pPr>
        <w:ind w:left="956" w:hanging="720"/>
      </w:pPr>
    </w:lvl>
    <w:lvl w:ilvl="1">
      <w:start w:val="1"/>
      <w:numFmt w:val="ideographTraditional"/>
      <w:lvlText w:val="%2、"/>
      <w:lvlJc w:val="left"/>
      <w:pPr>
        <w:ind w:left="1196" w:hanging="480"/>
      </w:pPr>
    </w:lvl>
    <w:lvl w:ilvl="2">
      <w:start w:val="1"/>
      <w:numFmt w:val="lowerRoman"/>
      <w:lvlText w:val="%3."/>
      <w:lvlJc w:val="right"/>
      <w:pPr>
        <w:ind w:left="1676" w:hanging="480"/>
      </w:pPr>
    </w:lvl>
    <w:lvl w:ilvl="3">
      <w:start w:val="1"/>
      <w:numFmt w:val="decimal"/>
      <w:lvlText w:val="%4."/>
      <w:lvlJc w:val="left"/>
      <w:pPr>
        <w:ind w:left="2156" w:hanging="480"/>
      </w:p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
      <w:lvlText w:val="%7."/>
      <w:lvlJc w:val="left"/>
      <w:pPr>
        <w:ind w:left="3596" w:hanging="480"/>
      </w:pPr>
    </w:lvl>
    <w:lvl w:ilvl="7">
      <w:start w:val="1"/>
      <w:numFmt w:val="ideographTraditional"/>
      <w:lvlText w:val="%8、"/>
      <w:lvlJc w:val="left"/>
      <w:pPr>
        <w:ind w:left="4076" w:hanging="480"/>
      </w:pPr>
    </w:lvl>
    <w:lvl w:ilvl="8">
      <w:start w:val="1"/>
      <w:numFmt w:val="lowerRoman"/>
      <w:lvlText w:val="%9."/>
      <w:lvlJc w:val="right"/>
      <w:pPr>
        <w:ind w:left="4556" w:hanging="480"/>
      </w:pPr>
    </w:lvl>
  </w:abstractNum>
  <w:abstractNum w:abstractNumId="23">
    <w:nsid w:val="2C04521E"/>
    <w:multiLevelType w:val="multilevel"/>
    <w:tmpl w:val="E8F0FC1C"/>
    <w:lvl w:ilvl="0">
      <w:start w:val="1"/>
      <w:numFmt w:val="decimal"/>
      <w:lvlText w:val="（%1）"/>
      <w:lvlJc w:val="left"/>
      <w:pPr>
        <w:ind w:left="1067" w:hanging="360"/>
      </w:pPr>
      <w:rPr>
        <w:rFonts w:hint="default"/>
      </w:rPr>
    </w:lvl>
    <w:lvl w:ilvl="1">
      <w:start w:val="1"/>
      <w:numFmt w:val="ideographTraditional"/>
      <w:lvlText w:val="%2、"/>
      <w:lvlJc w:val="left"/>
      <w:pPr>
        <w:ind w:left="1667" w:hanging="480"/>
      </w:pPr>
    </w:lvl>
    <w:lvl w:ilvl="2">
      <w:start w:val="1"/>
      <w:numFmt w:val="lowerRoman"/>
      <w:lvlText w:val="%3."/>
      <w:lvlJc w:val="right"/>
      <w:pPr>
        <w:ind w:left="2147" w:hanging="480"/>
      </w:pPr>
    </w:lvl>
    <w:lvl w:ilvl="3">
      <w:start w:val="1"/>
      <w:numFmt w:val="decimal"/>
      <w:lvlText w:val="%4."/>
      <w:lvlJc w:val="left"/>
      <w:pPr>
        <w:ind w:left="2627" w:hanging="480"/>
      </w:pPr>
    </w:lvl>
    <w:lvl w:ilvl="4">
      <w:start w:val="1"/>
      <w:numFmt w:val="ideographTraditional"/>
      <w:lvlText w:val="%5、"/>
      <w:lvlJc w:val="left"/>
      <w:pPr>
        <w:ind w:left="3107" w:hanging="480"/>
      </w:pPr>
    </w:lvl>
    <w:lvl w:ilvl="5">
      <w:start w:val="1"/>
      <w:numFmt w:val="lowerRoman"/>
      <w:lvlText w:val="%6."/>
      <w:lvlJc w:val="right"/>
      <w:pPr>
        <w:ind w:left="3587" w:hanging="480"/>
      </w:pPr>
    </w:lvl>
    <w:lvl w:ilvl="6">
      <w:start w:val="1"/>
      <w:numFmt w:val="decimal"/>
      <w:lvlText w:val="%7."/>
      <w:lvlJc w:val="left"/>
      <w:pPr>
        <w:ind w:left="4067" w:hanging="480"/>
      </w:pPr>
    </w:lvl>
    <w:lvl w:ilvl="7">
      <w:start w:val="1"/>
      <w:numFmt w:val="ideographTraditional"/>
      <w:lvlText w:val="%8、"/>
      <w:lvlJc w:val="left"/>
      <w:pPr>
        <w:ind w:left="4547" w:hanging="480"/>
      </w:pPr>
    </w:lvl>
    <w:lvl w:ilvl="8">
      <w:start w:val="1"/>
      <w:numFmt w:val="lowerRoman"/>
      <w:lvlText w:val="%9."/>
      <w:lvlJc w:val="right"/>
      <w:pPr>
        <w:ind w:left="5027" w:hanging="480"/>
      </w:pPr>
    </w:lvl>
  </w:abstractNum>
  <w:abstractNum w:abstractNumId="24">
    <w:nsid w:val="2C434864"/>
    <w:multiLevelType w:val="multilevel"/>
    <w:tmpl w:val="FD262DAA"/>
    <w:lvl w:ilvl="0">
      <w:start w:val="1"/>
      <w:numFmt w:val="decimal"/>
      <w:lvlText w:val="（%1）"/>
      <w:lvlJc w:val="left"/>
      <w:pPr>
        <w:ind w:left="1896" w:hanging="480"/>
      </w:pPr>
      <w:rPr>
        <w:rFonts w:hint="default"/>
      </w:rPr>
    </w:lvl>
    <w:lvl w:ilvl="1">
      <w:start w:val="1"/>
      <w:numFmt w:val="ideographTraditional"/>
      <w:lvlText w:val="%2、"/>
      <w:lvlJc w:val="left"/>
      <w:pPr>
        <w:ind w:left="2376" w:hanging="480"/>
      </w:pPr>
    </w:lvl>
    <w:lvl w:ilvl="2">
      <w:start w:val="1"/>
      <w:numFmt w:val="lowerRoman"/>
      <w:lvlText w:val="%3."/>
      <w:lvlJc w:val="right"/>
      <w:pPr>
        <w:ind w:left="2856" w:hanging="480"/>
      </w:pPr>
    </w:lvl>
    <w:lvl w:ilvl="3">
      <w:start w:val="1"/>
      <w:numFmt w:val="decimal"/>
      <w:lvlText w:val="%4."/>
      <w:lvlJc w:val="left"/>
      <w:pPr>
        <w:ind w:left="3336" w:hanging="480"/>
      </w:pPr>
    </w:lvl>
    <w:lvl w:ilvl="4">
      <w:start w:val="1"/>
      <w:numFmt w:val="ideographTraditional"/>
      <w:lvlText w:val="%5、"/>
      <w:lvlJc w:val="left"/>
      <w:pPr>
        <w:ind w:left="3816" w:hanging="480"/>
      </w:pPr>
    </w:lvl>
    <w:lvl w:ilvl="5">
      <w:start w:val="1"/>
      <w:numFmt w:val="lowerRoman"/>
      <w:lvlText w:val="%6."/>
      <w:lvlJc w:val="right"/>
      <w:pPr>
        <w:ind w:left="4296" w:hanging="480"/>
      </w:pPr>
    </w:lvl>
    <w:lvl w:ilvl="6">
      <w:start w:val="1"/>
      <w:numFmt w:val="decimal"/>
      <w:lvlText w:val="%7."/>
      <w:lvlJc w:val="left"/>
      <w:pPr>
        <w:ind w:left="4776" w:hanging="480"/>
      </w:pPr>
    </w:lvl>
    <w:lvl w:ilvl="7">
      <w:start w:val="1"/>
      <w:numFmt w:val="ideographTraditional"/>
      <w:lvlText w:val="%8、"/>
      <w:lvlJc w:val="left"/>
      <w:pPr>
        <w:ind w:left="5256" w:hanging="480"/>
      </w:pPr>
    </w:lvl>
    <w:lvl w:ilvl="8">
      <w:start w:val="1"/>
      <w:numFmt w:val="lowerRoman"/>
      <w:lvlText w:val="%9."/>
      <w:lvlJc w:val="right"/>
      <w:pPr>
        <w:ind w:left="5736" w:hanging="480"/>
      </w:pPr>
    </w:lvl>
  </w:abstractNum>
  <w:abstractNum w:abstractNumId="25">
    <w:nsid w:val="32E655B9"/>
    <w:multiLevelType w:val="multilevel"/>
    <w:tmpl w:val="435A42FA"/>
    <w:lvl w:ilvl="0">
      <w:start w:val="1"/>
      <w:numFmt w:val="taiwaneseCountingThousand"/>
      <w:lvlText w:val="（%1）"/>
      <w:lvlJc w:val="left"/>
      <w:pPr>
        <w:ind w:left="1226" w:hanging="360"/>
      </w:pPr>
      <w:rPr>
        <w:rFonts w:hint="eastAsia"/>
      </w:rPr>
    </w:lvl>
    <w:lvl w:ilvl="1">
      <w:start w:val="1"/>
      <w:numFmt w:val="ideographTraditional"/>
      <w:lvlText w:val="%2、"/>
      <w:lvlJc w:val="left"/>
      <w:pPr>
        <w:ind w:left="1826" w:hanging="480"/>
      </w:pPr>
    </w:lvl>
    <w:lvl w:ilvl="2">
      <w:start w:val="1"/>
      <w:numFmt w:val="lowerRoman"/>
      <w:lvlText w:val="%3."/>
      <w:lvlJc w:val="right"/>
      <w:pPr>
        <w:ind w:left="2306" w:hanging="480"/>
      </w:pPr>
    </w:lvl>
    <w:lvl w:ilvl="3">
      <w:start w:val="1"/>
      <w:numFmt w:val="decimal"/>
      <w:lvlText w:val="%4."/>
      <w:lvlJc w:val="left"/>
      <w:pPr>
        <w:ind w:left="2786" w:hanging="480"/>
      </w:pPr>
    </w:lvl>
    <w:lvl w:ilvl="4">
      <w:start w:val="1"/>
      <w:numFmt w:val="ideographTraditional"/>
      <w:lvlText w:val="%5、"/>
      <w:lvlJc w:val="left"/>
      <w:pPr>
        <w:ind w:left="3266" w:hanging="480"/>
      </w:pPr>
    </w:lvl>
    <w:lvl w:ilvl="5">
      <w:start w:val="1"/>
      <w:numFmt w:val="lowerRoman"/>
      <w:lvlText w:val="%6."/>
      <w:lvlJc w:val="right"/>
      <w:pPr>
        <w:ind w:left="3746" w:hanging="480"/>
      </w:pPr>
    </w:lvl>
    <w:lvl w:ilvl="6">
      <w:start w:val="1"/>
      <w:numFmt w:val="decimal"/>
      <w:lvlText w:val="%7."/>
      <w:lvlJc w:val="left"/>
      <w:pPr>
        <w:ind w:left="4226" w:hanging="480"/>
      </w:pPr>
    </w:lvl>
    <w:lvl w:ilvl="7">
      <w:start w:val="1"/>
      <w:numFmt w:val="ideographTraditional"/>
      <w:lvlText w:val="%8、"/>
      <w:lvlJc w:val="left"/>
      <w:pPr>
        <w:ind w:left="4706" w:hanging="480"/>
      </w:pPr>
    </w:lvl>
    <w:lvl w:ilvl="8">
      <w:start w:val="1"/>
      <w:numFmt w:val="lowerRoman"/>
      <w:lvlText w:val="%9."/>
      <w:lvlJc w:val="right"/>
      <w:pPr>
        <w:ind w:left="5186" w:hanging="480"/>
      </w:pPr>
    </w:lvl>
  </w:abstractNum>
  <w:abstractNum w:abstractNumId="26">
    <w:nsid w:val="36F05CC8"/>
    <w:multiLevelType w:val="multilevel"/>
    <w:tmpl w:val="5EF091C2"/>
    <w:lvl w:ilvl="0">
      <w:start w:val="1"/>
      <w:numFmt w:val="decimal"/>
      <w:lvlText w:val="%1."/>
      <w:lvlJc w:val="left"/>
      <w:pPr>
        <w:ind w:left="832" w:hanging="360"/>
      </w:pPr>
    </w:lvl>
    <w:lvl w:ilvl="1">
      <w:start w:val="1"/>
      <w:numFmt w:val="ideographTraditional"/>
      <w:lvlText w:val="%2、"/>
      <w:lvlJc w:val="left"/>
      <w:pPr>
        <w:ind w:left="1432" w:hanging="480"/>
      </w:pPr>
    </w:lvl>
    <w:lvl w:ilvl="2">
      <w:start w:val="1"/>
      <w:numFmt w:val="lowerRoman"/>
      <w:lvlText w:val="%3."/>
      <w:lvlJc w:val="right"/>
      <w:pPr>
        <w:ind w:left="1912" w:hanging="480"/>
      </w:pPr>
    </w:lvl>
    <w:lvl w:ilvl="3">
      <w:start w:val="1"/>
      <w:numFmt w:val="decimal"/>
      <w:lvlText w:val="%4."/>
      <w:lvlJc w:val="left"/>
      <w:pPr>
        <w:ind w:left="2392" w:hanging="480"/>
      </w:pPr>
    </w:lvl>
    <w:lvl w:ilvl="4">
      <w:start w:val="1"/>
      <w:numFmt w:val="ideographTraditional"/>
      <w:lvlText w:val="%5、"/>
      <w:lvlJc w:val="left"/>
      <w:pPr>
        <w:ind w:left="2872" w:hanging="480"/>
      </w:pPr>
    </w:lvl>
    <w:lvl w:ilvl="5">
      <w:start w:val="1"/>
      <w:numFmt w:val="lowerRoman"/>
      <w:lvlText w:val="%6."/>
      <w:lvlJc w:val="right"/>
      <w:pPr>
        <w:ind w:left="3352" w:hanging="480"/>
      </w:pPr>
    </w:lvl>
    <w:lvl w:ilvl="6">
      <w:start w:val="1"/>
      <w:numFmt w:val="decimal"/>
      <w:lvlText w:val="%7."/>
      <w:lvlJc w:val="left"/>
      <w:pPr>
        <w:ind w:left="3832" w:hanging="480"/>
      </w:pPr>
    </w:lvl>
    <w:lvl w:ilvl="7">
      <w:start w:val="1"/>
      <w:numFmt w:val="ideographTraditional"/>
      <w:lvlText w:val="%8、"/>
      <w:lvlJc w:val="left"/>
      <w:pPr>
        <w:ind w:left="4312" w:hanging="480"/>
      </w:pPr>
    </w:lvl>
    <w:lvl w:ilvl="8">
      <w:start w:val="1"/>
      <w:numFmt w:val="lowerRoman"/>
      <w:lvlText w:val="%9."/>
      <w:lvlJc w:val="right"/>
      <w:pPr>
        <w:ind w:left="4792" w:hanging="480"/>
      </w:pPr>
    </w:lvl>
  </w:abstractNum>
  <w:abstractNum w:abstractNumId="27">
    <w:nsid w:val="3E771445"/>
    <w:multiLevelType w:val="multilevel"/>
    <w:tmpl w:val="9A2AC1C2"/>
    <w:lvl w:ilvl="0">
      <w:start w:val="1"/>
      <w:numFmt w:val="decimal"/>
      <w:lvlText w:val="（%1）"/>
      <w:lvlJc w:val="left"/>
      <w:pPr>
        <w:ind w:left="1896" w:hanging="480"/>
      </w:pPr>
      <w:rPr>
        <w:rFonts w:hint="default"/>
      </w:rPr>
    </w:lvl>
    <w:lvl w:ilvl="1">
      <w:start w:val="1"/>
      <w:numFmt w:val="ideographTraditional"/>
      <w:lvlText w:val="%2、"/>
      <w:lvlJc w:val="left"/>
      <w:pPr>
        <w:ind w:left="2376" w:hanging="480"/>
      </w:pPr>
    </w:lvl>
    <w:lvl w:ilvl="2">
      <w:start w:val="1"/>
      <w:numFmt w:val="lowerRoman"/>
      <w:lvlText w:val="%3."/>
      <w:lvlJc w:val="right"/>
      <w:pPr>
        <w:ind w:left="2856" w:hanging="480"/>
      </w:pPr>
    </w:lvl>
    <w:lvl w:ilvl="3">
      <w:start w:val="1"/>
      <w:numFmt w:val="decimal"/>
      <w:lvlText w:val="%4."/>
      <w:lvlJc w:val="left"/>
      <w:pPr>
        <w:ind w:left="3336" w:hanging="480"/>
      </w:pPr>
    </w:lvl>
    <w:lvl w:ilvl="4">
      <w:start w:val="1"/>
      <w:numFmt w:val="ideographTraditional"/>
      <w:lvlText w:val="%5、"/>
      <w:lvlJc w:val="left"/>
      <w:pPr>
        <w:ind w:left="3816" w:hanging="480"/>
      </w:pPr>
    </w:lvl>
    <w:lvl w:ilvl="5">
      <w:start w:val="1"/>
      <w:numFmt w:val="lowerRoman"/>
      <w:lvlText w:val="%6."/>
      <w:lvlJc w:val="right"/>
      <w:pPr>
        <w:ind w:left="4296" w:hanging="480"/>
      </w:pPr>
    </w:lvl>
    <w:lvl w:ilvl="6">
      <w:start w:val="1"/>
      <w:numFmt w:val="decimal"/>
      <w:lvlText w:val="%7."/>
      <w:lvlJc w:val="left"/>
      <w:pPr>
        <w:ind w:left="4776" w:hanging="480"/>
      </w:pPr>
    </w:lvl>
    <w:lvl w:ilvl="7">
      <w:start w:val="1"/>
      <w:numFmt w:val="ideographTraditional"/>
      <w:lvlText w:val="%8、"/>
      <w:lvlJc w:val="left"/>
      <w:pPr>
        <w:ind w:left="5256" w:hanging="480"/>
      </w:pPr>
    </w:lvl>
    <w:lvl w:ilvl="8">
      <w:start w:val="1"/>
      <w:numFmt w:val="lowerRoman"/>
      <w:lvlText w:val="%9."/>
      <w:lvlJc w:val="right"/>
      <w:pPr>
        <w:ind w:left="5736" w:hanging="480"/>
      </w:pPr>
    </w:lvl>
  </w:abstractNum>
  <w:abstractNum w:abstractNumId="28">
    <w:nsid w:val="42C425F0"/>
    <w:multiLevelType w:val="hybridMultilevel"/>
    <w:tmpl w:val="583428FC"/>
    <w:lvl w:ilvl="0" w:tplc="C33C6BB4">
      <w:start w:val="1"/>
      <w:numFmt w:val="decimalFullWidth"/>
      <w:lvlText w:val="%1、"/>
      <w:lvlJc w:val="left"/>
      <w:pPr>
        <w:ind w:left="1424" w:hanging="48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29">
    <w:nsid w:val="4FAE1B3E"/>
    <w:multiLevelType w:val="multilevel"/>
    <w:tmpl w:val="BCE06C26"/>
    <w:lvl w:ilvl="0">
      <w:start w:val="1"/>
      <w:numFmt w:val="decimal"/>
      <w:lvlText w:val="%1."/>
      <w:lvlJc w:val="left"/>
      <w:pPr>
        <w:ind w:left="960" w:hanging="480"/>
      </w:pPr>
    </w:lvl>
    <w:lvl w:ilvl="1">
      <w:start w:val="1"/>
      <w:numFmt w:val="ideographTraditional"/>
      <w:lvlText w:val="%2、"/>
      <w:lvlJc w:val="left"/>
      <w:pPr>
        <w:ind w:left="1440" w:hanging="480"/>
      </w:p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30">
    <w:nsid w:val="4FDB38D9"/>
    <w:multiLevelType w:val="hybridMultilevel"/>
    <w:tmpl w:val="D5606670"/>
    <w:lvl w:ilvl="0" w:tplc="C33C6BB4">
      <w:start w:val="1"/>
      <w:numFmt w:val="decimalFullWidth"/>
      <w:lvlText w:val="%1、"/>
      <w:lvlJc w:val="left"/>
      <w:pPr>
        <w:ind w:left="1424" w:hanging="480"/>
      </w:pPr>
      <w:rPr>
        <w:rFonts w:hint="default"/>
      </w:rPr>
    </w:lvl>
    <w:lvl w:ilvl="1" w:tplc="B6BAA7D8">
      <w:start w:val="1"/>
      <w:numFmt w:val="decimal"/>
      <w:lvlText w:val="（%2）"/>
      <w:lvlJc w:val="left"/>
      <w:pPr>
        <w:ind w:left="1784" w:hanging="360"/>
      </w:pPr>
      <w:rPr>
        <w:rFonts w:hint="default"/>
      </w:r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31">
    <w:nsid w:val="5D9C7A75"/>
    <w:multiLevelType w:val="multilevel"/>
    <w:tmpl w:val="D26C0EA4"/>
    <w:lvl w:ilvl="0">
      <w:start w:val="1"/>
      <w:numFmt w:val="decimal"/>
      <w:lvlText w:val="（%1）"/>
      <w:lvlJc w:val="left"/>
      <w:pPr>
        <w:ind w:left="1084" w:hanging="375"/>
      </w:pPr>
      <w:rPr>
        <w:rFonts w:hint="default"/>
      </w:rPr>
    </w:lvl>
    <w:lvl w:ilvl="1">
      <w:start w:val="1"/>
      <w:numFmt w:val="ideographTraditional"/>
      <w:lvlText w:val="%2、"/>
      <w:lvlJc w:val="left"/>
      <w:pPr>
        <w:ind w:left="1669" w:hanging="480"/>
      </w:pPr>
    </w:lvl>
    <w:lvl w:ilvl="2">
      <w:start w:val="1"/>
      <w:numFmt w:val="lowerRoman"/>
      <w:lvlText w:val="%3."/>
      <w:lvlJc w:val="right"/>
      <w:pPr>
        <w:ind w:left="2149" w:hanging="480"/>
      </w:pPr>
    </w:lvl>
    <w:lvl w:ilvl="3">
      <w:start w:val="1"/>
      <w:numFmt w:val="decimal"/>
      <w:lvlText w:val="%4."/>
      <w:lvlJc w:val="left"/>
      <w:pPr>
        <w:ind w:left="2629" w:hanging="480"/>
      </w:pPr>
    </w:lvl>
    <w:lvl w:ilvl="4">
      <w:start w:val="1"/>
      <w:numFmt w:val="ideographTraditional"/>
      <w:lvlText w:val="%5、"/>
      <w:lvlJc w:val="left"/>
      <w:pPr>
        <w:ind w:left="3109" w:hanging="480"/>
      </w:pPr>
    </w:lvl>
    <w:lvl w:ilvl="5">
      <w:start w:val="1"/>
      <w:numFmt w:val="lowerRoman"/>
      <w:lvlText w:val="%6."/>
      <w:lvlJc w:val="right"/>
      <w:pPr>
        <w:ind w:left="3589" w:hanging="480"/>
      </w:pPr>
    </w:lvl>
    <w:lvl w:ilvl="6">
      <w:start w:val="1"/>
      <w:numFmt w:val="decimal"/>
      <w:lvlText w:val="%7."/>
      <w:lvlJc w:val="left"/>
      <w:pPr>
        <w:ind w:left="4069" w:hanging="480"/>
      </w:pPr>
    </w:lvl>
    <w:lvl w:ilvl="7">
      <w:start w:val="1"/>
      <w:numFmt w:val="ideographTraditional"/>
      <w:lvlText w:val="%8、"/>
      <w:lvlJc w:val="left"/>
      <w:pPr>
        <w:ind w:left="4549" w:hanging="480"/>
      </w:pPr>
    </w:lvl>
    <w:lvl w:ilvl="8">
      <w:start w:val="1"/>
      <w:numFmt w:val="lowerRoman"/>
      <w:lvlText w:val="%9."/>
      <w:lvlJc w:val="right"/>
      <w:pPr>
        <w:ind w:left="5029" w:hanging="480"/>
      </w:pPr>
    </w:lvl>
  </w:abstractNum>
  <w:abstractNum w:abstractNumId="32">
    <w:nsid w:val="61ED0F9C"/>
    <w:multiLevelType w:val="hybridMultilevel"/>
    <w:tmpl w:val="9C8A04F8"/>
    <w:lvl w:ilvl="0" w:tplc="2E062388">
      <w:start w:val="1"/>
      <w:numFmt w:val="decimalFullWidth"/>
      <w:lvlText w:val="%1、"/>
      <w:lvlJc w:val="left"/>
      <w:pPr>
        <w:ind w:left="1424" w:hanging="48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33">
    <w:nsid w:val="641D03F4"/>
    <w:multiLevelType w:val="multilevel"/>
    <w:tmpl w:val="B4662816"/>
    <w:lvl w:ilvl="0">
      <w:start w:val="1"/>
      <w:numFmt w:val="upperLetter"/>
      <w:lvlText w:val="%1."/>
      <w:lvlJc w:val="left"/>
      <w:pPr>
        <w:ind w:left="1785" w:hanging="480"/>
      </w:pPr>
    </w:lvl>
    <w:lvl w:ilvl="1">
      <w:start w:val="1"/>
      <w:numFmt w:val="ideographTraditional"/>
      <w:lvlText w:val="%2、"/>
      <w:lvlJc w:val="left"/>
      <w:pPr>
        <w:ind w:left="2265" w:hanging="480"/>
      </w:pPr>
    </w:lvl>
    <w:lvl w:ilvl="2">
      <w:start w:val="1"/>
      <w:numFmt w:val="lowerRoman"/>
      <w:lvlText w:val="%3."/>
      <w:lvlJc w:val="right"/>
      <w:pPr>
        <w:ind w:left="2745" w:hanging="480"/>
      </w:pPr>
    </w:lvl>
    <w:lvl w:ilvl="3">
      <w:start w:val="1"/>
      <w:numFmt w:val="decimal"/>
      <w:lvlText w:val="%4."/>
      <w:lvlJc w:val="left"/>
      <w:pPr>
        <w:ind w:left="3225" w:hanging="480"/>
      </w:pPr>
    </w:lvl>
    <w:lvl w:ilvl="4">
      <w:start w:val="1"/>
      <w:numFmt w:val="ideographTraditional"/>
      <w:lvlText w:val="%5、"/>
      <w:lvlJc w:val="left"/>
      <w:pPr>
        <w:ind w:left="3705" w:hanging="480"/>
      </w:pPr>
    </w:lvl>
    <w:lvl w:ilvl="5">
      <w:start w:val="1"/>
      <w:numFmt w:val="lowerRoman"/>
      <w:lvlText w:val="%6."/>
      <w:lvlJc w:val="right"/>
      <w:pPr>
        <w:ind w:left="4185" w:hanging="480"/>
      </w:pPr>
    </w:lvl>
    <w:lvl w:ilvl="6">
      <w:start w:val="1"/>
      <w:numFmt w:val="decimal"/>
      <w:lvlText w:val="%7."/>
      <w:lvlJc w:val="left"/>
      <w:pPr>
        <w:ind w:left="4665" w:hanging="480"/>
      </w:pPr>
    </w:lvl>
    <w:lvl w:ilvl="7">
      <w:start w:val="1"/>
      <w:numFmt w:val="ideographTraditional"/>
      <w:lvlText w:val="%8、"/>
      <w:lvlJc w:val="left"/>
      <w:pPr>
        <w:ind w:left="5145" w:hanging="480"/>
      </w:pPr>
    </w:lvl>
    <w:lvl w:ilvl="8">
      <w:start w:val="1"/>
      <w:numFmt w:val="lowerRoman"/>
      <w:lvlText w:val="%9."/>
      <w:lvlJc w:val="right"/>
      <w:pPr>
        <w:ind w:left="5625" w:hanging="480"/>
      </w:pPr>
    </w:lvl>
  </w:abstractNum>
  <w:abstractNum w:abstractNumId="34">
    <w:nsid w:val="68166F0D"/>
    <w:multiLevelType w:val="hybridMultilevel"/>
    <w:tmpl w:val="B628CC1A"/>
    <w:lvl w:ilvl="0" w:tplc="C33C6BB4">
      <w:start w:val="1"/>
      <w:numFmt w:val="decimalFullWidth"/>
      <w:lvlText w:val="%1、"/>
      <w:lvlJc w:val="left"/>
      <w:pPr>
        <w:ind w:left="1331" w:hanging="480"/>
      </w:pPr>
      <w:rPr>
        <w:rFonts w:hint="default"/>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5">
    <w:nsid w:val="6C8F066A"/>
    <w:multiLevelType w:val="multilevel"/>
    <w:tmpl w:val="7E6A31F0"/>
    <w:lvl w:ilvl="0">
      <w:start w:val="1"/>
      <w:numFmt w:val="taiwaneseCountingThousand"/>
      <w:lvlText w:val="（%1）"/>
      <w:lvlJc w:val="left"/>
      <w:pPr>
        <w:ind w:left="956" w:hanging="720"/>
      </w:pPr>
    </w:lvl>
    <w:lvl w:ilvl="1">
      <w:start w:val="1"/>
      <w:numFmt w:val="ideographTraditional"/>
      <w:lvlText w:val="%2、"/>
      <w:lvlJc w:val="left"/>
      <w:pPr>
        <w:ind w:left="1196" w:hanging="480"/>
      </w:pPr>
    </w:lvl>
    <w:lvl w:ilvl="2">
      <w:start w:val="1"/>
      <w:numFmt w:val="lowerRoman"/>
      <w:lvlText w:val="%3."/>
      <w:lvlJc w:val="right"/>
      <w:pPr>
        <w:ind w:left="1676" w:hanging="480"/>
      </w:pPr>
    </w:lvl>
    <w:lvl w:ilvl="3">
      <w:start w:val="1"/>
      <w:numFmt w:val="decimal"/>
      <w:lvlText w:val="%4."/>
      <w:lvlJc w:val="left"/>
      <w:pPr>
        <w:ind w:left="2156" w:hanging="480"/>
      </w:p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
      <w:lvlText w:val="%7."/>
      <w:lvlJc w:val="left"/>
      <w:pPr>
        <w:ind w:left="3596" w:hanging="480"/>
      </w:pPr>
    </w:lvl>
    <w:lvl w:ilvl="7">
      <w:start w:val="1"/>
      <w:numFmt w:val="ideographTraditional"/>
      <w:lvlText w:val="%8、"/>
      <w:lvlJc w:val="left"/>
      <w:pPr>
        <w:ind w:left="4076" w:hanging="480"/>
      </w:pPr>
    </w:lvl>
    <w:lvl w:ilvl="8">
      <w:start w:val="1"/>
      <w:numFmt w:val="lowerRoman"/>
      <w:lvlText w:val="%9."/>
      <w:lvlJc w:val="right"/>
      <w:pPr>
        <w:ind w:left="4556" w:hanging="480"/>
      </w:pPr>
    </w:lvl>
  </w:abstractNum>
  <w:abstractNum w:abstractNumId="36">
    <w:nsid w:val="6EEC2BE7"/>
    <w:multiLevelType w:val="multilevel"/>
    <w:tmpl w:val="CF0C96FE"/>
    <w:lvl w:ilvl="0">
      <w:start w:val="1"/>
      <w:numFmt w:val="decimal"/>
      <w:lvlText w:val="（%1）"/>
      <w:lvlJc w:val="left"/>
      <w:pPr>
        <w:ind w:left="1084" w:hanging="375"/>
      </w:pPr>
      <w:rPr>
        <w:rFonts w:hint="default"/>
      </w:rPr>
    </w:lvl>
    <w:lvl w:ilvl="1">
      <w:start w:val="1"/>
      <w:numFmt w:val="ideographTraditional"/>
      <w:lvlText w:val="%2、"/>
      <w:lvlJc w:val="left"/>
      <w:pPr>
        <w:ind w:left="1669" w:hanging="480"/>
      </w:pPr>
    </w:lvl>
    <w:lvl w:ilvl="2">
      <w:start w:val="1"/>
      <w:numFmt w:val="lowerRoman"/>
      <w:lvlText w:val="%3."/>
      <w:lvlJc w:val="right"/>
      <w:pPr>
        <w:ind w:left="2149" w:hanging="480"/>
      </w:pPr>
    </w:lvl>
    <w:lvl w:ilvl="3">
      <w:start w:val="1"/>
      <w:numFmt w:val="decimal"/>
      <w:lvlText w:val="%4."/>
      <w:lvlJc w:val="left"/>
      <w:pPr>
        <w:ind w:left="2629" w:hanging="480"/>
      </w:pPr>
    </w:lvl>
    <w:lvl w:ilvl="4">
      <w:start w:val="1"/>
      <w:numFmt w:val="ideographTraditional"/>
      <w:lvlText w:val="%5、"/>
      <w:lvlJc w:val="left"/>
      <w:pPr>
        <w:ind w:left="3109" w:hanging="480"/>
      </w:pPr>
    </w:lvl>
    <w:lvl w:ilvl="5">
      <w:start w:val="1"/>
      <w:numFmt w:val="lowerRoman"/>
      <w:lvlText w:val="%6."/>
      <w:lvlJc w:val="right"/>
      <w:pPr>
        <w:ind w:left="3589" w:hanging="480"/>
      </w:pPr>
    </w:lvl>
    <w:lvl w:ilvl="6">
      <w:start w:val="1"/>
      <w:numFmt w:val="decimal"/>
      <w:lvlText w:val="%7."/>
      <w:lvlJc w:val="left"/>
      <w:pPr>
        <w:ind w:left="4069" w:hanging="480"/>
      </w:pPr>
    </w:lvl>
    <w:lvl w:ilvl="7">
      <w:start w:val="1"/>
      <w:numFmt w:val="ideographTraditional"/>
      <w:lvlText w:val="%8、"/>
      <w:lvlJc w:val="left"/>
      <w:pPr>
        <w:ind w:left="4549" w:hanging="480"/>
      </w:pPr>
    </w:lvl>
    <w:lvl w:ilvl="8">
      <w:start w:val="1"/>
      <w:numFmt w:val="lowerRoman"/>
      <w:lvlText w:val="%9."/>
      <w:lvlJc w:val="right"/>
      <w:pPr>
        <w:ind w:left="5029" w:hanging="480"/>
      </w:pPr>
    </w:lvl>
  </w:abstractNum>
  <w:abstractNum w:abstractNumId="37">
    <w:nsid w:val="755F2069"/>
    <w:multiLevelType w:val="multilevel"/>
    <w:tmpl w:val="078CFA82"/>
    <w:styleLink w:val="WW8Num16"/>
    <w:lvl w:ilvl="0">
      <w:start w:val="1"/>
      <w:numFmt w:val="japaneseCounting"/>
      <w:lvlText w:val="%1、"/>
      <w:lvlJc w:val="left"/>
      <w:pPr>
        <w:ind w:left="720" w:hanging="720"/>
      </w:pPr>
    </w:lvl>
    <w:lvl w:ilvl="1">
      <w:start w:val="1"/>
      <w:numFmt w:val="lowerLetter"/>
      <w:lvlText w:val="%2."/>
      <w:lvlJc w:val="left"/>
      <w:pPr>
        <w:ind w:left="1080" w:hanging="360"/>
      </w:pPr>
    </w:lvl>
    <w:lvl w:ilvl="2">
      <w:start w:val="1"/>
      <w:numFmt w:val="japaneseCounting"/>
      <w:lvlText w:val="(%3)"/>
      <w:lvlJc w:val="left"/>
      <w:pPr>
        <w:ind w:left="990" w:hanging="720"/>
      </w:pPr>
      <w:rPr>
        <w:rFonts w:ascii="新細明體" w:eastAsia="新細明體" w:hAnsi="新細明體" w:cs="新細明體"/>
        <w:color w:val="000000"/>
        <w:sz w:val="24"/>
        <w:szCs w:val="24"/>
      </w:rPr>
    </w:lvl>
    <w:lvl w:ilvl="3">
      <w:start w:val="1"/>
      <w:numFmt w:val="decimal"/>
      <w:lvlText w:val="%4."/>
      <w:lvlJc w:val="left"/>
      <w:pPr>
        <w:ind w:left="99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8">
    <w:nsid w:val="75BA318D"/>
    <w:multiLevelType w:val="hybridMultilevel"/>
    <w:tmpl w:val="806E9542"/>
    <w:lvl w:ilvl="0" w:tplc="C33C6BB4">
      <w:start w:val="1"/>
      <w:numFmt w:val="decimalFullWidth"/>
      <w:lvlText w:val="%1、"/>
      <w:lvlJc w:val="left"/>
      <w:pPr>
        <w:ind w:left="1424" w:hanging="48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39">
    <w:nsid w:val="77DB583B"/>
    <w:multiLevelType w:val="hybridMultilevel"/>
    <w:tmpl w:val="D2244904"/>
    <w:lvl w:ilvl="0" w:tplc="C33C6BB4">
      <w:start w:val="1"/>
      <w:numFmt w:val="decimalFullWidth"/>
      <w:lvlText w:val="%1、"/>
      <w:lvlJc w:val="left"/>
      <w:pPr>
        <w:ind w:left="1424" w:hanging="480"/>
      </w:pPr>
      <w:rPr>
        <w:rFonts w:hint="default"/>
      </w:rPr>
    </w:lvl>
    <w:lvl w:ilvl="1" w:tplc="04090019" w:tentative="1">
      <w:start w:val="1"/>
      <w:numFmt w:val="ideographTraditional"/>
      <w:lvlText w:val="%2、"/>
      <w:lvlJc w:val="left"/>
      <w:pPr>
        <w:ind w:left="1904" w:hanging="480"/>
      </w:pPr>
    </w:lvl>
    <w:lvl w:ilvl="2" w:tplc="0409001B" w:tentative="1">
      <w:start w:val="1"/>
      <w:numFmt w:val="lowerRoman"/>
      <w:lvlText w:val="%3."/>
      <w:lvlJc w:val="right"/>
      <w:pPr>
        <w:ind w:left="2384" w:hanging="480"/>
      </w:pPr>
    </w:lvl>
    <w:lvl w:ilvl="3" w:tplc="0409000F" w:tentative="1">
      <w:start w:val="1"/>
      <w:numFmt w:val="decimal"/>
      <w:lvlText w:val="%4."/>
      <w:lvlJc w:val="left"/>
      <w:pPr>
        <w:ind w:left="2864" w:hanging="480"/>
      </w:pPr>
    </w:lvl>
    <w:lvl w:ilvl="4" w:tplc="04090019" w:tentative="1">
      <w:start w:val="1"/>
      <w:numFmt w:val="ideographTraditional"/>
      <w:lvlText w:val="%5、"/>
      <w:lvlJc w:val="left"/>
      <w:pPr>
        <w:ind w:left="3344" w:hanging="480"/>
      </w:pPr>
    </w:lvl>
    <w:lvl w:ilvl="5" w:tplc="0409001B" w:tentative="1">
      <w:start w:val="1"/>
      <w:numFmt w:val="lowerRoman"/>
      <w:lvlText w:val="%6."/>
      <w:lvlJc w:val="right"/>
      <w:pPr>
        <w:ind w:left="3824" w:hanging="480"/>
      </w:pPr>
    </w:lvl>
    <w:lvl w:ilvl="6" w:tplc="0409000F" w:tentative="1">
      <w:start w:val="1"/>
      <w:numFmt w:val="decimal"/>
      <w:lvlText w:val="%7."/>
      <w:lvlJc w:val="left"/>
      <w:pPr>
        <w:ind w:left="4304" w:hanging="480"/>
      </w:pPr>
    </w:lvl>
    <w:lvl w:ilvl="7" w:tplc="04090019" w:tentative="1">
      <w:start w:val="1"/>
      <w:numFmt w:val="ideographTraditional"/>
      <w:lvlText w:val="%8、"/>
      <w:lvlJc w:val="left"/>
      <w:pPr>
        <w:ind w:left="4784" w:hanging="480"/>
      </w:pPr>
    </w:lvl>
    <w:lvl w:ilvl="8" w:tplc="0409001B" w:tentative="1">
      <w:start w:val="1"/>
      <w:numFmt w:val="lowerRoman"/>
      <w:lvlText w:val="%9."/>
      <w:lvlJc w:val="right"/>
      <w:pPr>
        <w:ind w:left="5264" w:hanging="480"/>
      </w:pPr>
    </w:lvl>
  </w:abstractNum>
  <w:abstractNum w:abstractNumId="40">
    <w:nsid w:val="790A36FD"/>
    <w:multiLevelType w:val="multilevel"/>
    <w:tmpl w:val="10029350"/>
    <w:lvl w:ilvl="0">
      <w:start w:val="1"/>
      <w:numFmt w:val="taiwaneseCountingThousand"/>
      <w:lvlText w:val="（%1）"/>
      <w:lvlJc w:val="left"/>
      <w:pPr>
        <w:ind w:left="956" w:hanging="720"/>
      </w:pPr>
    </w:lvl>
    <w:lvl w:ilvl="1">
      <w:start w:val="1"/>
      <w:numFmt w:val="ideographTraditional"/>
      <w:lvlText w:val="%2、"/>
      <w:lvlJc w:val="left"/>
      <w:pPr>
        <w:ind w:left="1196" w:hanging="480"/>
      </w:pPr>
    </w:lvl>
    <w:lvl w:ilvl="2">
      <w:start w:val="1"/>
      <w:numFmt w:val="lowerRoman"/>
      <w:lvlText w:val="%3."/>
      <w:lvlJc w:val="right"/>
      <w:pPr>
        <w:ind w:left="1676" w:hanging="480"/>
      </w:pPr>
    </w:lvl>
    <w:lvl w:ilvl="3">
      <w:start w:val="1"/>
      <w:numFmt w:val="decimalFullWidth"/>
      <w:lvlText w:val="%4、"/>
      <w:lvlJc w:val="left"/>
      <w:pPr>
        <w:ind w:left="2156" w:hanging="480"/>
      </w:pPr>
      <w:rPr>
        <w:rFonts w:hint="default"/>
      </w:r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
      <w:lvlText w:val="%7."/>
      <w:lvlJc w:val="left"/>
      <w:pPr>
        <w:ind w:left="3596" w:hanging="480"/>
      </w:pPr>
    </w:lvl>
    <w:lvl w:ilvl="7">
      <w:start w:val="1"/>
      <w:numFmt w:val="ideographTraditional"/>
      <w:lvlText w:val="%8、"/>
      <w:lvlJc w:val="left"/>
      <w:pPr>
        <w:ind w:left="4076" w:hanging="480"/>
      </w:pPr>
    </w:lvl>
    <w:lvl w:ilvl="8">
      <w:start w:val="1"/>
      <w:numFmt w:val="lowerRoman"/>
      <w:lvlText w:val="%9."/>
      <w:lvlJc w:val="right"/>
      <w:pPr>
        <w:ind w:left="4556" w:hanging="480"/>
      </w:pPr>
    </w:lvl>
  </w:abstractNum>
  <w:abstractNum w:abstractNumId="41">
    <w:nsid w:val="7C644FFD"/>
    <w:multiLevelType w:val="multilevel"/>
    <w:tmpl w:val="21AE708E"/>
    <w:lvl w:ilvl="0">
      <w:start w:val="1"/>
      <w:numFmt w:val="decimal"/>
      <w:lvlText w:val="%1."/>
      <w:lvlJc w:val="left"/>
      <w:pPr>
        <w:ind w:left="960" w:hanging="480"/>
      </w:pPr>
    </w:lvl>
    <w:lvl w:ilvl="1">
      <w:start w:val="1"/>
      <w:numFmt w:val="decimalFullWidth"/>
      <w:lvlText w:val="%2、"/>
      <w:lvlJc w:val="left"/>
      <w:pPr>
        <w:ind w:left="1440" w:hanging="480"/>
      </w:pPr>
      <w:rPr>
        <w:rFonts w:hint="default"/>
        <w:lang w:val="x-none"/>
      </w:rPr>
    </w:lvl>
    <w:lvl w:ilvl="2">
      <w:start w:val="1"/>
      <w:numFmt w:val="lowerRoman"/>
      <w:lvlText w:val="%3."/>
      <w:lvlJc w:val="right"/>
      <w:pPr>
        <w:ind w:left="1920" w:hanging="480"/>
      </w:pPr>
    </w:lvl>
    <w:lvl w:ilvl="3">
      <w:start w:val="1"/>
      <w:numFmt w:val="decimal"/>
      <w:lvlText w:val="%4."/>
      <w:lvlJc w:val="left"/>
      <w:pPr>
        <w:ind w:left="2400" w:hanging="480"/>
      </w:pPr>
    </w:lvl>
    <w:lvl w:ilvl="4">
      <w:start w:val="1"/>
      <w:numFmt w:val="ideographTraditional"/>
      <w:lvlText w:val="%5、"/>
      <w:lvlJc w:val="left"/>
      <w:pPr>
        <w:ind w:left="2880" w:hanging="480"/>
      </w:pPr>
    </w:lvl>
    <w:lvl w:ilvl="5">
      <w:start w:val="1"/>
      <w:numFmt w:val="lowerRoman"/>
      <w:lvlText w:val="%6."/>
      <w:lvlJc w:val="right"/>
      <w:pPr>
        <w:ind w:left="3360" w:hanging="480"/>
      </w:pPr>
    </w:lvl>
    <w:lvl w:ilvl="6">
      <w:start w:val="1"/>
      <w:numFmt w:val="decimal"/>
      <w:lvlText w:val="%7."/>
      <w:lvlJc w:val="left"/>
      <w:pPr>
        <w:ind w:left="3840" w:hanging="480"/>
      </w:pPr>
    </w:lvl>
    <w:lvl w:ilvl="7">
      <w:start w:val="1"/>
      <w:numFmt w:val="ideographTraditional"/>
      <w:lvlText w:val="%8、"/>
      <w:lvlJc w:val="left"/>
      <w:pPr>
        <w:ind w:left="4320" w:hanging="480"/>
      </w:pPr>
    </w:lvl>
    <w:lvl w:ilvl="8">
      <w:start w:val="1"/>
      <w:numFmt w:val="lowerRoman"/>
      <w:lvlText w:val="%9."/>
      <w:lvlJc w:val="right"/>
      <w:pPr>
        <w:ind w:left="4800" w:hanging="480"/>
      </w:pPr>
    </w:lvl>
  </w:abstractNum>
  <w:abstractNum w:abstractNumId="42">
    <w:nsid w:val="7D545E1A"/>
    <w:multiLevelType w:val="multilevel"/>
    <w:tmpl w:val="B85631CA"/>
    <w:lvl w:ilvl="0">
      <w:start w:val="1"/>
      <w:numFmt w:val="taiwaneseCountingThousand"/>
      <w:lvlText w:val="（%1）"/>
      <w:lvlJc w:val="left"/>
      <w:pPr>
        <w:ind w:left="956" w:hanging="720"/>
      </w:pPr>
    </w:lvl>
    <w:lvl w:ilvl="1">
      <w:start w:val="1"/>
      <w:numFmt w:val="ideographTraditional"/>
      <w:lvlText w:val="%2、"/>
      <w:lvlJc w:val="left"/>
      <w:pPr>
        <w:ind w:left="1196" w:hanging="480"/>
      </w:pPr>
    </w:lvl>
    <w:lvl w:ilvl="2">
      <w:start w:val="1"/>
      <w:numFmt w:val="lowerRoman"/>
      <w:lvlText w:val="%3."/>
      <w:lvlJc w:val="right"/>
      <w:pPr>
        <w:ind w:left="1676" w:hanging="480"/>
      </w:pPr>
    </w:lvl>
    <w:lvl w:ilvl="3">
      <w:start w:val="1"/>
      <w:numFmt w:val="decimal"/>
      <w:lvlText w:val="%4."/>
      <w:lvlJc w:val="left"/>
      <w:pPr>
        <w:ind w:left="2156" w:hanging="480"/>
      </w:pPr>
    </w:lvl>
    <w:lvl w:ilvl="4">
      <w:start w:val="1"/>
      <w:numFmt w:val="ideographTraditional"/>
      <w:lvlText w:val="%5、"/>
      <w:lvlJc w:val="left"/>
      <w:pPr>
        <w:ind w:left="2636" w:hanging="480"/>
      </w:pPr>
    </w:lvl>
    <w:lvl w:ilvl="5">
      <w:start w:val="1"/>
      <w:numFmt w:val="lowerRoman"/>
      <w:lvlText w:val="%6."/>
      <w:lvlJc w:val="right"/>
      <w:pPr>
        <w:ind w:left="3116" w:hanging="480"/>
      </w:pPr>
    </w:lvl>
    <w:lvl w:ilvl="6">
      <w:start w:val="1"/>
      <w:numFmt w:val="decimal"/>
      <w:lvlText w:val="%7."/>
      <w:lvlJc w:val="left"/>
      <w:pPr>
        <w:ind w:left="3596" w:hanging="480"/>
      </w:pPr>
    </w:lvl>
    <w:lvl w:ilvl="7">
      <w:start w:val="1"/>
      <w:numFmt w:val="ideographTraditional"/>
      <w:lvlText w:val="%8、"/>
      <w:lvlJc w:val="left"/>
      <w:pPr>
        <w:ind w:left="4076" w:hanging="480"/>
      </w:pPr>
    </w:lvl>
    <w:lvl w:ilvl="8">
      <w:start w:val="1"/>
      <w:numFmt w:val="lowerRoman"/>
      <w:lvlText w:val="%9."/>
      <w:lvlJc w:val="right"/>
      <w:pPr>
        <w:ind w:left="4556" w:hanging="4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37"/>
  </w:num>
  <w:num w:numId="16">
    <w:abstractNumId w:val="20"/>
  </w:num>
  <w:num w:numId="17">
    <w:abstractNumId w:val="28"/>
  </w:num>
  <w:num w:numId="18">
    <w:abstractNumId w:val="15"/>
  </w:num>
  <w:num w:numId="19">
    <w:abstractNumId w:val="32"/>
  </w:num>
  <w:num w:numId="20">
    <w:abstractNumId w:val="38"/>
  </w:num>
  <w:num w:numId="21">
    <w:abstractNumId w:val="34"/>
  </w:num>
  <w:num w:numId="22">
    <w:abstractNumId w:val="30"/>
  </w:num>
  <w:num w:numId="23">
    <w:abstractNumId w:val="18"/>
  </w:num>
  <w:num w:numId="24">
    <w:abstractNumId w:val="19"/>
  </w:num>
  <w:num w:numId="25">
    <w:abstractNumId w:val="17"/>
  </w:num>
  <w:num w:numId="26">
    <w:abstractNumId w:val="39"/>
  </w:num>
  <w:num w:numId="27">
    <w:abstractNumId w:val="23"/>
  </w:num>
  <w:num w:numId="28">
    <w:abstractNumId w:val="42"/>
  </w:num>
  <w:num w:numId="29">
    <w:abstractNumId w:val="26"/>
  </w:num>
  <w:num w:numId="30">
    <w:abstractNumId w:val="25"/>
  </w:num>
  <w:num w:numId="31">
    <w:abstractNumId w:val="35"/>
  </w:num>
  <w:num w:numId="32">
    <w:abstractNumId w:val="29"/>
  </w:num>
  <w:num w:numId="33">
    <w:abstractNumId w:val="21"/>
  </w:num>
  <w:num w:numId="34">
    <w:abstractNumId w:val="14"/>
  </w:num>
  <w:num w:numId="35">
    <w:abstractNumId w:val="41"/>
  </w:num>
  <w:num w:numId="36">
    <w:abstractNumId w:val="22"/>
  </w:num>
  <w:num w:numId="37">
    <w:abstractNumId w:val="40"/>
  </w:num>
  <w:num w:numId="38">
    <w:abstractNumId w:val="16"/>
  </w:num>
  <w:num w:numId="39">
    <w:abstractNumId w:val="31"/>
  </w:num>
  <w:num w:numId="40">
    <w:abstractNumId w:val="36"/>
  </w:num>
  <w:num w:numId="41">
    <w:abstractNumId w:val="27"/>
  </w:num>
  <w:num w:numId="42">
    <w:abstractNumId w:val="33"/>
  </w:num>
  <w:num w:numId="43">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isplayBackgroundShape/>
  <w:embedSystemFonts/>
  <w:bordersDoNotSurroundHeader/>
  <w:bordersDoNotSurroundFooter/>
  <w:hideSpellingErrors/>
  <w:proofState w:grammar="clean"/>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420"/>
  <w:defaultTableStyle w:val="a"/>
  <w:evenAndOddHeaders/>
  <w:drawingGridHorizontalSpacing w:val="220"/>
  <w:drawingGridVerticalSpacing w:val="257"/>
  <w:displayHorizontalDrawingGridEvery w:val="0"/>
  <w:displayVerticalDrawingGridEvery w:val="0"/>
  <w:noPunctuationKerning/>
  <w:characterSpacingControl w:val="doNotCompress"/>
  <w:strictFirstAndLastChar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5284"/>
    <w:rsid w:val="00020CAD"/>
    <w:rsid w:val="00063BA1"/>
    <w:rsid w:val="00083B8B"/>
    <w:rsid w:val="000D4E50"/>
    <w:rsid w:val="000F0C19"/>
    <w:rsid w:val="000F3D7F"/>
    <w:rsid w:val="000F62DF"/>
    <w:rsid w:val="001006D7"/>
    <w:rsid w:val="00106167"/>
    <w:rsid w:val="00114C4F"/>
    <w:rsid w:val="00121ED1"/>
    <w:rsid w:val="00127F39"/>
    <w:rsid w:val="00131697"/>
    <w:rsid w:val="001643C1"/>
    <w:rsid w:val="00181F63"/>
    <w:rsid w:val="00187337"/>
    <w:rsid w:val="00196218"/>
    <w:rsid w:val="001A0E92"/>
    <w:rsid w:val="001A3D1C"/>
    <w:rsid w:val="001A6B4A"/>
    <w:rsid w:val="001D39E3"/>
    <w:rsid w:val="001D5436"/>
    <w:rsid w:val="001D5965"/>
    <w:rsid w:val="001E390C"/>
    <w:rsid w:val="001E57D0"/>
    <w:rsid w:val="0022185E"/>
    <w:rsid w:val="002332C5"/>
    <w:rsid w:val="00241318"/>
    <w:rsid w:val="00242F37"/>
    <w:rsid w:val="00245788"/>
    <w:rsid w:val="00282098"/>
    <w:rsid w:val="00287E40"/>
    <w:rsid w:val="002A4D7E"/>
    <w:rsid w:val="002C40E8"/>
    <w:rsid w:val="002C5284"/>
    <w:rsid w:val="002D39D2"/>
    <w:rsid w:val="00306400"/>
    <w:rsid w:val="0032277D"/>
    <w:rsid w:val="003243E4"/>
    <w:rsid w:val="003251F5"/>
    <w:rsid w:val="00333C3C"/>
    <w:rsid w:val="00334E33"/>
    <w:rsid w:val="00344444"/>
    <w:rsid w:val="003A4E56"/>
    <w:rsid w:val="003C04EF"/>
    <w:rsid w:val="003C29CF"/>
    <w:rsid w:val="003F007E"/>
    <w:rsid w:val="003F48ED"/>
    <w:rsid w:val="0040371C"/>
    <w:rsid w:val="004152B7"/>
    <w:rsid w:val="00462CA6"/>
    <w:rsid w:val="004639A0"/>
    <w:rsid w:val="00466E04"/>
    <w:rsid w:val="00474F06"/>
    <w:rsid w:val="004A54B3"/>
    <w:rsid w:val="004A569E"/>
    <w:rsid w:val="004A78D5"/>
    <w:rsid w:val="004C1279"/>
    <w:rsid w:val="004C7AE2"/>
    <w:rsid w:val="004E0DA7"/>
    <w:rsid w:val="004F0E9D"/>
    <w:rsid w:val="004F23C5"/>
    <w:rsid w:val="004F72AA"/>
    <w:rsid w:val="00504843"/>
    <w:rsid w:val="00530B9F"/>
    <w:rsid w:val="00533D26"/>
    <w:rsid w:val="00542157"/>
    <w:rsid w:val="00547715"/>
    <w:rsid w:val="00554516"/>
    <w:rsid w:val="00555704"/>
    <w:rsid w:val="0056111E"/>
    <w:rsid w:val="00561D94"/>
    <w:rsid w:val="00577FE9"/>
    <w:rsid w:val="00583721"/>
    <w:rsid w:val="005A1A4A"/>
    <w:rsid w:val="005A5E4E"/>
    <w:rsid w:val="005A7BB3"/>
    <w:rsid w:val="005E1B46"/>
    <w:rsid w:val="005F3803"/>
    <w:rsid w:val="00615F81"/>
    <w:rsid w:val="00623586"/>
    <w:rsid w:val="0065334A"/>
    <w:rsid w:val="0069231F"/>
    <w:rsid w:val="00697189"/>
    <w:rsid w:val="006A47F9"/>
    <w:rsid w:val="006B34DC"/>
    <w:rsid w:val="006E00F4"/>
    <w:rsid w:val="006F3E9A"/>
    <w:rsid w:val="006F3FCA"/>
    <w:rsid w:val="006F4848"/>
    <w:rsid w:val="0070405C"/>
    <w:rsid w:val="00715206"/>
    <w:rsid w:val="00716AD3"/>
    <w:rsid w:val="00720093"/>
    <w:rsid w:val="00735DC9"/>
    <w:rsid w:val="00736184"/>
    <w:rsid w:val="00741545"/>
    <w:rsid w:val="00762D61"/>
    <w:rsid w:val="00780C93"/>
    <w:rsid w:val="007A0543"/>
    <w:rsid w:val="007A32B3"/>
    <w:rsid w:val="007B2F2B"/>
    <w:rsid w:val="007D2C82"/>
    <w:rsid w:val="007D3BA8"/>
    <w:rsid w:val="007D6509"/>
    <w:rsid w:val="007E1276"/>
    <w:rsid w:val="007F50EF"/>
    <w:rsid w:val="00800CA1"/>
    <w:rsid w:val="008073BD"/>
    <w:rsid w:val="00816586"/>
    <w:rsid w:val="00821E9E"/>
    <w:rsid w:val="008339A4"/>
    <w:rsid w:val="00843E65"/>
    <w:rsid w:val="0089045A"/>
    <w:rsid w:val="008A12E0"/>
    <w:rsid w:val="008A7E6E"/>
    <w:rsid w:val="008B7C28"/>
    <w:rsid w:val="008C417E"/>
    <w:rsid w:val="008F6830"/>
    <w:rsid w:val="00930BC4"/>
    <w:rsid w:val="00933D73"/>
    <w:rsid w:val="00950597"/>
    <w:rsid w:val="009612A7"/>
    <w:rsid w:val="00993B74"/>
    <w:rsid w:val="00993C4C"/>
    <w:rsid w:val="009A0135"/>
    <w:rsid w:val="009B5281"/>
    <w:rsid w:val="009C08FC"/>
    <w:rsid w:val="009D5549"/>
    <w:rsid w:val="009D6D25"/>
    <w:rsid w:val="009E009F"/>
    <w:rsid w:val="009E6433"/>
    <w:rsid w:val="009F1D7B"/>
    <w:rsid w:val="00A06A28"/>
    <w:rsid w:val="00A4175C"/>
    <w:rsid w:val="00A55624"/>
    <w:rsid w:val="00A64DB9"/>
    <w:rsid w:val="00A73BE9"/>
    <w:rsid w:val="00A80D41"/>
    <w:rsid w:val="00A83CDF"/>
    <w:rsid w:val="00A936CC"/>
    <w:rsid w:val="00AA1A88"/>
    <w:rsid w:val="00AA398B"/>
    <w:rsid w:val="00AB0636"/>
    <w:rsid w:val="00AC18CE"/>
    <w:rsid w:val="00AF14B1"/>
    <w:rsid w:val="00AF4B26"/>
    <w:rsid w:val="00B04089"/>
    <w:rsid w:val="00B101CB"/>
    <w:rsid w:val="00B306D0"/>
    <w:rsid w:val="00B310D1"/>
    <w:rsid w:val="00B32F8F"/>
    <w:rsid w:val="00B476DD"/>
    <w:rsid w:val="00B526D0"/>
    <w:rsid w:val="00B61AA4"/>
    <w:rsid w:val="00B62824"/>
    <w:rsid w:val="00B65EA8"/>
    <w:rsid w:val="00B8484E"/>
    <w:rsid w:val="00B866A9"/>
    <w:rsid w:val="00B913EC"/>
    <w:rsid w:val="00BC252F"/>
    <w:rsid w:val="00BD1427"/>
    <w:rsid w:val="00BD7E53"/>
    <w:rsid w:val="00BF0349"/>
    <w:rsid w:val="00BF2663"/>
    <w:rsid w:val="00C15C65"/>
    <w:rsid w:val="00C32135"/>
    <w:rsid w:val="00C40DE2"/>
    <w:rsid w:val="00C439B0"/>
    <w:rsid w:val="00C5234F"/>
    <w:rsid w:val="00C5405E"/>
    <w:rsid w:val="00C54F2A"/>
    <w:rsid w:val="00C65E97"/>
    <w:rsid w:val="00C8526F"/>
    <w:rsid w:val="00C85608"/>
    <w:rsid w:val="00C903C5"/>
    <w:rsid w:val="00C9535E"/>
    <w:rsid w:val="00CA1411"/>
    <w:rsid w:val="00CB51CC"/>
    <w:rsid w:val="00CC3F17"/>
    <w:rsid w:val="00CC7988"/>
    <w:rsid w:val="00CD12E4"/>
    <w:rsid w:val="00CD5713"/>
    <w:rsid w:val="00CE0627"/>
    <w:rsid w:val="00D0472C"/>
    <w:rsid w:val="00D1180C"/>
    <w:rsid w:val="00D23291"/>
    <w:rsid w:val="00D3204F"/>
    <w:rsid w:val="00D73808"/>
    <w:rsid w:val="00D8781B"/>
    <w:rsid w:val="00DA1257"/>
    <w:rsid w:val="00DA16F8"/>
    <w:rsid w:val="00DB4505"/>
    <w:rsid w:val="00DC6F44"/>
    <w:rsid w:val="00DE0053"/>
    <w:rsid w:val="00DF3D81"/>
    <w:rsid w:val="00E04D75"/>
    <w:rsid w:val="00E06512"/>
    <w:rsid w:val="00E131EA"/>
    <w:rsid w:val="00E22242"/>
    <w:rsid w:val="00E40739"/>
    <w:rsid w:val="00E40D48"/>
    <w:rsid w:val="00E43257"/>
    <w:rsid w:val="00EB76CE"/>
    <w:rsid w:val="00EB7917"/>
    <w:rsid w:val="00EB7DAA"/>
    <w:rsid w:val="00EC0234"/>
    <w:rsid w:val="00F31A02"/>
    <w:rsid w:val="00F433A8"/>
    <w:rsid w:val="00F52D0B"/>
    <w:rsid w:val="00F6703A"/>
    <w:rsid w:val="00F8611C"/>
    <w:rsid w:val="00F935DE"/>
    <w:rsid w:val="00F93901"/>
    <w:rsid w:val="00F949EE"/>
    <w:rsid w:val="00FC0BAD"/>
    <w:rsid w:val="00FC1997"/>
    <w:rsid w:val="00FC6A31"/>
    <w:rsid w:val="00FD0B62"/>
    <w:rsid w:val="00FF29F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toa heading"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1F63"/>
    <w:pPr>
      <w:widowControl w:val="0"/>
      <w:pBdr>
        <w:top w:val="none" w:sz="0" w:space="0" w:color="000000"/>
        <w:left w:val="none" w:sz="0" w:space="0" w:color="000000"/>
        <w:bottom w:val="none" w:sz="0" w:space="0" w:color="000000"/>
        <w:right w:val="none" w:sz="0" w:space="0" w:color="000000"/>
      </w:pBdr>
      <w:overflowPunct w:val="0"/>
      <w:autoSpaceDE w:val="0"/>
      <w:autoSpaceDN w:val="0"/>
      <w:jc w:val="both"/>
    </w:pPr>
    <w:rPr>
      <w:rFonts w:eastAsia="華康細圓體"/>
      <w:sz w:val="24"/>
    </w:rPr>
  </w:style>
  <w:style w:type="paragraph" w:styleId="1">
    <w:name w:val="heading 1"/>
    <w:basedOn w:val="a0"/>
    <w:next w:val="a0"/>
    <w:qFormat/>
    <w:pPr>
      <w:keepNext/>
      <w:tabs>
        <w:tab w:val="num" w:pos="0"/>
      </w:tabs>
      <w:suppressAutoHyphens/>
      <w:spacing w:before="180" w:after="180" w:line="720" w:lineRule="auto"/>
      <w:outlineLvl w:val="0"/>
    </w:pPr>
    <w:rPr>
      <w:rFonts w:ascii="Arial" w:eastAsia="新細明體" w:hAnsi="Arial"/>
      <w:b/>
      <w:bCs/>
      <w:sz w:val="52"/>
      <w:szCs w:val="52"/>
    </w:rPr>
  </w:style>
  <w:style w:type="paragraph" w:styleId="2">
    <w:name w:val="heading 2"/>
    <w:basedOn w:val="a0"/>
    <w:next w:val="a0"/>
    <w:qFormat/>
    <w:pPr>
      <w:keepNext/>
      <w:tabs>
        <w:tab w:val="num" w:pos="0"/>
      </w:tabs>
      <w:suppressAutoHyphens/>
      <w:spacing w:line="720" w:lineRule="auto"/>
      <w:outlineLvl w:val="1"/>
    </w:pPr>
    <w:rPr>
      <w:rFonts w:ascii="Arial" w:eastAsia="新細明體" w:hAnsi="Arial"/>
      <w:b/>
      <w:bCs/>
      <w:sz w:val="48"/>
      <w:szCs w:val="48"/>
    </w:rPr>
  </w:style>
  <w:style w:type="paragraph" w:styleId="3">
    <w:name w:val="heading 3"/>
    <w:basedOn w:val="a0"/>
    <w:next w:val="a0"/>
    <w:qFormat/>
    <w:pPr>
      <w:keepNext/>
      <w:tabs>
        <w:tab w:val="num" w:pos="0"/>
      </w:tabs>
      <w:suppressAutoHyphens/>
      <w:spacing w:line="720" w:lineRule="auto"/>
      <w:outlineLvl w:val="2"/>
    </w:pPr>
    <w:rPr>
      <w:rFonts w:ascii="Arial" w:eastAsia="新細明體" w:hAnsi="Arial"/>
      <w:b/>
      <w:bCs/>
      <w:sz w:val="36"/>
      <w:szCs w:val="36"/>
    </w:rPr>
  </w:style>
  <w:style w:type="paragraph" w:styleId="4">
    <w:name w:val="heading 4"/>
    <w:basedOn w:val="a0"/>
    <w:next w:val="a0"/>
    <w:qFormat/>
    <w:pPr>
      <w:keepNext/>
      <w:tabs>
        <w:tab w:val="num" w:pos="0"/>
      </w:tabs>
      <w:suppressAutoHyphens/>
      <w:spacing w:line="720" w:lineRule="auto"/>
      <w:outlineLvl w:val="3"/>
    </w:pPr>
    <w:rPr>
      <w:rFonts w:ascii="Cambria" w:eastAsia="新細明體" w:hAnsi="Cambria"/>
      <w:sz w:val="36"/>
      <w:szCs w:val="36"/>
    </w:rPr>
  </w:style>
  <w:style w:type="paragraph" w:styleId="5">
    <w:name w:val="heading 5"/>
    <w:basedOn w:val="a0"/>
    <w:next w:val="a0"/>
    <w:qFormat/>
    <w:pPr>
      <w:keepNext/>
      <w:tabs>
        <w:tab w:val="num" w:pos="0"/>
      </w:tabs>
      <w:suppressAutoHyphens/>
      <w:spacing w:line="720" w:lineRule="auto"/>
      <w:outlineLvl w:val="4"/>
    </w:pPr>
    <w:rPr>
      <w:rFonts w:ascii="Cambria" w:eastAsia="新細明體" w:hAnsi="Cambria"/>
      <w:b/>
      <w:bCs/>
      <w:sz w:val="36"/>
      <w:szCs w:val="36"/>
    </w:rPr>
  </w:style>
  <w:style w:type="paragraph" w:styleId="6">
    <w:name w:val="heading 6"/>
    <w:basedOn w:val="a0"/>
    <w:next w:val="a0"/>
    <w:qFormat/>
    <w:pPr>
      <w:keepNext/>
      <w:tabs>
        <w:tab w:val="num" w:pos="0"/>
      </w:tabs>
      <w:suppressAutoHyphens/>
      <w:spacing w:line="720" w:lineRule="auto"/>
      <w:outlineLvl w:val="5"/>
    </w:pPr>
    <w:rPr>
      <w:rFonts w:ascii="Cambria" w:eastAsia="新細明體" w:hAnsi="Cambria"/>
      <w:sz w:val="36"/>
      <w:szCs w:val="36"/>
    </w:rPr>
  </w:style>
  <w:style w:type="paragraph" w:styleId="7">
    <w:name w:val="heading 7"/>
    <w:basedOn w:val="a0"/>
    <w:next w:val="a0"/>
    <w:qFormat/>
    <w:pPr>
      <w:keepNext/>
      <w:tabs>
        <w:tab w:val="num" w:pos="0"/>
      </w:tabs>
      <w:suppressAutoHyphens/>
      <w:spacing w:line="720" w:lineRule="auto"/>
      <w:outlineLvl w:val="6"/>
    </w:pPr>
    <w:rPr>
      <w:rFonts w:ascii="Cambria" w:eastAsia="新細明體" w:hAnsi="Cambria"/>
      <w:b/>
      <w:bCs/>
      <w:sz w:val="36"/>
      <w:szCs w:val="36"/>
    </w:rPr>
  </w:style>
  <w:style w:type="paragraph" w:styleId="8">
    <w:name w:val="heading 8"/>
    <w:basedOn w:val="a0"/>
    <w:next w:val="a0"/>
    <w:qFormat/>
    <w:pPr>
      <w:keepNext/>
      <w:tabs>
        <w:tab w:val="num" w:pos="0"/>
      </w:tabs>
      <w:suppressAutoHyphens/>
      <w:spacing w:line="720" w:lineRule="auto"/>
      <w:outlineLvl w:val="7"/>
    </w:pPr>
    <w:rPr>
      <w:rFonts w:ascii="Cambria" w:eastAsia="新細明體" w:hAnsi="Cambria"/>
      <w:sz w:val="36"/>
      <w:szCs w:val="36"/>
    </w:rPr>
  </w:style>
  <w:style w:type="paragraph" w:styleId="9">
    <w:name w:val="heading 9"/>
    <w:basedOn w:val="a0"/>
    <w:next w:val="a0"/>
    <w:qFormat/>
    <w:pPr>
      <w:keepNext/>
      <w:tabs>
        <w:tab w:val="num" w:pos="0"/>
      </w:tabs>
      <w:suppressAutoHyphens/>
      <w:spacing w:line="720" w:lineRule="auto"/>
      <w:outlineLvl w:val="8"/>
    </w:pPr>
    <w:rPr>
      <w:rFonts w:ascii="Cambria" w:eastAsia="新細明體" w:hAnsi="Cambria"/>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rPr>
      <w:rFonts w:ascii="Arial" w:eastAsia="新細明體" w:hAnsi="Arial"/>
      <w:b/>
      <w:bCs/>
      <w:kern w:val="1"/>
      <w:sz w:val="52"/>
      <w:szCs w:val="52"/>
      <w:lang w:val="en-US" w:eastAsia="zh-CN" w:bidi="ar-SA"/>
    </w:rPr>
  </w:style>
  <w:style w:type="character" w:customStyle="1" w:styleId="20">
    <w:name w:val="標題 2 字元"/>
    <w:rPr>
      <w:rFonts w:ascii="Arial" w:eastAsia="新細明體" w:hAnsi="Arial"/>
      <w:b/>
      <w:bCs/>
      <w:kern w:val="1"/>
      <w:sz w:val="48"/>
      <w:szCs w:val="48"/>
      <w:lang w:val="en-US" w:eastAsia="zh-CN" w:bidi="ar-SA"/>
    </w:rPr>
  </w:style>
  <w:style w:type="character" w:customStyle="1" w:styleId="30">
    <w:name w:val="標題 3 字元"/>
    <w:rPr>
      <w:rFonts w:ascii="Arial" w:eastAsia="新細明體" w:hAnsi="Arial"/>
      <w:b/>
      <w:bCs/>
      <w:kern w:val="1"/>
      <w:sz w:val="36"/>
      <w:szCs w:val="36"/>
      <w:lang w:val="en-US" w:eastAsia="zh-CN" w:bidi="ar-SA"/>
    </w:rPr>
  </w:style>
  <w:style w:type="character" w:customStyle="1" w:styleId="40">
    <w:name w:val="標題 4 字元"/>
    <w:rPr>
      <w:rFonts w:ascii="Cambria" w:eastAsia="新細明體" w:hAnsi="Cambria"/>
      <w:kern w:val="1"/>
      <w:sz w:val="36"/>
      <w:szCs w:val="36"/>
      <w:lang w:val="en-US" w:eastAsia="zh-CN" w:bidi="ar-SA"/>
    </w:rPr>
  </w:style>
  <w:style w:type="character" w:customStyle="1" w:styleId="50">
    <w:name w:val="標題 5 字元"/>
    <w:rPr>
      <w:rFonts w:ascii="Cambria" w:eastAsia="新細明體" w:hAnsi="Cambria"/>
      <w:b/>
      <w:bCs/>
      <w:kern w:val="1"/>
      <w:sz w:val="36"/>
      <w:szCs w:val="36"/>
      <w:lang w:val="en-US" w:eastAsia="zh-CN" w:bidi="ar-SA"/>
    </w:rPr>
  </w:style>
  <w:style w:type="character" w:customStyle="1" w:styleId="60">
    <w:name w:val="標題 6 字元"/>
    <w:rPr>
      <w:rFonts w:ascii="Cambria" w:eastAsia="新細明體" w:hAnsi="Cambria"/>
      <w:kern w:val="1"/>
      <w:sz w:val="36"/>
      <w:szCs w:val="36"/>
      <w:lang w:val="en-US" w:eastAsia="zh-CN" w:bidi="ar-SA"/>
    </w:rPr>
  </w:style>
  <w:style w:type="character" w:customStyle="1" w:styleId="70">
    <w:name w:val="標題 7 字元"/>
    <w:rPr>
      <w:rFonts w:ascii="Cambria" w:eastAsia="新細明體" w:hAnsi="Cambria"/>
      <w:b/>
      <w:bCs/>
      <w:kern w:val="1"/>
      <w:sz w:val="36"/>
      <w:szCs w:val="36"/>
      <w:lang w:val="en-US" w:eastAsia="zh-CN" w:bidi="ar-SA"/>
    </w:rPr>
  </w:style>
  <w:style w:type="character" w:customStyle="1" w:styleId="80">
    <w:name w:val="標題 8 字元"/>
    <w:rPr>
      <w:rFonts w:ascii="Cambria" w:eastAsia="新細明體" w:hAnsi="Cambria"/>
      <w:kern w:val="1"/>
      <w:sz w:val="36"/>
      <w:szCs w:val="36"/>
      <w:lang w:val="en-US" w:eastAsia="zh-CN" w:bidi="ar-SA"/>
    </w:rPr>
  </w:style>
  <w:style w:type="character" w:customStyle="1" w:styleId="90">
    <w:name w:val="標題 9 字元"/>
    <w:rPr>
      <w:rFonts w:ascii="Cambria" w:eastAsia="新細明體" w:hAnsi="Cambria"/>
      <w:kern w:val="1"/>
      <w:sz w:val="36"/>
      <w:szCs w:val="36"/>
      <w:lang w:val="en-US" w:eastAsia="zh-CN" w:bidi="ar-SA"/>
    </w:rPr>
  </w:style>
  <w:style w:type="character" w:customStyle="1" w:styleId="a4">
    <w:name w:val="註腳文字 字元"/>
    <w:rPr>
      <w:rFonts w:eastAsia="華康細圓體"/>
      <w:kern w:val="1"/>
      <w:lang w:val="en-US" w:eastAsia="ar-SA" w:bidi="ar-SA"/>
    </w:rPr>
  </w:style>
  <w:style w:type="character" w:customStyle="1" w:styleId="a5">
    <w:name w:val="頁首 字元"/>
    <w:rPr>
      <w:rFonts w:ascii="華康細圓體" w:eastAsia="華康細圓體" w:hAnsi="華康細圓體"/>
      <w:kern w:val="1"/>
      <w:sz w:val="24"/>
      <w:szCs w:val="24"/>
      <w:lang w:val="en-US" w:eastAsia="zh-CN" w:bidi="ar-SA"/>
    </w:rPr>
  </w:style>
  <w:style w:type="character" w:customStyle="1" w:styleId="a6">
    <w:name w:val="頁尾 字元"/>
    <w:rPr>
      <w:rFonts w:ascii="華康細圓體" w:eastAsia="華康細圓體" w:hAnsi="華康細圓體"/>
      <w:kern w:val="1"/>
      <w:sz w:val="24"/>
      <w:szCs w:val="24"/>
      <w:lang w:val="en-US" w:eastAsia="zh-CN" w:bidi="ar-SA"/>
    </w:rPr>
  </w:style>
  <w:style w:type="character" w:customStyle="1" w:styleId="a7">
    <w:name w:val="註解方塊文字 字元"/>
    <w:rPr>
      <w:rFonts w:ascii="Arial" w:eastAsia="新細明體" w:hAnsi="Arial"/>
      <w:kern w:val="1"/>
      <w:sz w:val="16"/>
      <w:szCs w:val="16"/>
      <w:lang w:val="en-US" w:eastAsia="zh-CN" w:bidi="ar-SA"/>
    </w:rPr>
  </w:style>
  <w:style w:type="character" w:styleId="a8">
    <w:name w:val="page number"/>
    <w:rPr>
      <w:sz w:val="20"/>
    </w:rPr>
  </w:style>
  <w:style w:type="character" w:styleId="a9">
    <w:name w:val="footnote reference"/>
    <w:rPr>
      <w:vertAlign w:val="superscript"/>
    </w:rPr>
  </w:style>
  <w:style w:type="character" w:styleId="aa">
    <w:name w:val="annotation reference"/>
    <w:rPr>
      <w:sz w:val="18"/>
      <w:szCs w:val="18"/>
    </w:rPr>
  </w:style>
  <w:style w:type="character" w:customStyle="1" w:styleId="ab">
    <w:name w:val="註解文字 字元"/>
    <w:rPr>
      <w:rFonts w:eastAsia="華康細圓體"/>
      <w:kern w:val="1"/>
      <w:sz w:val="24"/>
      <w:szCs w:val="24"/>
      <w:lang w:val="en-US" w:eastAsia="zh-CN" w:bidi="ar-SA"/>
    </w:rPr>
  </w:style>
  <w:style w:type="character" w:customStyle="1" w:styleId="ac">
    <w:name w:val="註解主旨 字元"/>
    <w:rPr>
      <w:rFonts w:eastAsia="華康細圓體"/>
      <w:b/>
      <w:bCs/>
      <w:kern w:val="1"/>
      <w:sz w:val="24"/>
      <w:szCs w:val="24"/>
      <w:lang w:val="en-US" w:eastAsia="zh-CN" w:bidi="ar-SA"/>
    </w:rPr>
  </w:style>
  <w:style w:type="character" w:styleId="ad">
    <w:name w:val="Hyperlink"/>
    <w:uiPriority w:val="99"/>
    <w:rPr>
      <w:color w:val="0000FF"/>
      <w:u w:val="single"/>
    </w:rPr>
  </w:style>
  <w:style w:type="character" w:customStyle="1" w:styleId="ae">
    <w:name w:val="註腳字元"/>
  </w:style>
  <w:style w:type="character" w:styleId="af">
    <w:name w:val="endnote reference"/>
    <w:rPr>
      <w:vertAlign w:val="superscript"/>
    </w:rPr>
  </w:style>
  <w:style w:type="character" w:customStyle="1" w:styleId="af0">
    <w:name w:val="尾註字元"/>
  </w:style>
  <w:style w:type="paragraph" w:styleId="af1">
    <w:name w:val="Title"/>
    <w:basedOn w:val="a"/>
    <w:next w:val="a0"/>
    <w:qFormat/>
    <w:pPr>
      <w:keepNext/>
      <w:spacing w:before="240" w:after="120"/>
    </w:pPr>
    <w:rPr>
      <w:rFonts w:ascii="Liberation Sans" w:eastAsia="微軟正黑體" w:hAnsi="Liberation Sans" w:cs="Tahoma"/>
      <w:sz w:val="28"/>
      <w:szCs w:val="28"/>
    </w:rPr>
  </w:style>
  <w:style w:type="paragraph" w:styleId="a0">
    <w:name w:val="Body Text"/>
    <w:basedOn w:val="a"/>
    <w:rsid w:val="006F3E9A"/>
    <w:pPr>
      <w:ind w:firstLineChars="200" w:firstLine="200"/>
    </w:pPr>
    <w:rPr>
      <w:kern w:val="1"/>
      <w:lang w:val="x-none"/>
    </w:rPr>
  </w:style>
  <w:style w:type="paragraph" w:customStyle="1" w:styleId="af2">
    <w:name w:val="大標"/>
    <w:basedOn w:val="a0"/>
    <w:rsid w:val="004C1279"/>
    <w:pPr>
      <w:spacing w:beforeLines="100" w:before="100" w:afterLines="150" w:after="150"/>
      <w:ind w:firstLineChars="0" w:firstLine="0"/>
      <w:jc w:val="center"/>
    </w:pPr>
    <w:rPr>
      <w:rFonts w:ascii="華康新特明體(P)" w:eastAsia="華康新特明體(P)" w:hAnsi="華康新特明體(P)"/>
      <w:sz w:val="40"/>
      <w:lang w:eastAsia="ja-JP"/>
    </w:rPr>
  </w:style>
  <w:style w:type="paragraph" w:customStyle="1" w:styleId="af3">
    <w:name w:val="一、"/>
    <w:basedOn w:val="a0"/>
    <w:rsid w:val="004639A0"/>
    <w:pPr>
      <w:spacing w:beforeLines="50" w:before="50" w:afterLines="50" w:after="50"/>
      <w:ind w:hangingChars="200" w:hanging="200"/>
    </w:pPr>
    <w:rPr>
      <w:rFonts w:ascii="華康粗明體" w:eastAsia="華康粗明體" w:hAnsi="華康粗明體"/>
      <w:color w:val="000000"/>
      <w:sz w:val="32"/>
    </w:rPr>
  </w:style>
  <w:style w:type="paragraph" w:styleId="af4">
    <w:name w:val="footnote text"/>
    <w:basedOn w:val="a"/>
    <w:rsid w:val="004A569E"/>
    <w:pPr>
      <w:snapToGrid w:val="0"/>
      <w:ind w:hangingChars="150" w:hanging="150"/>
    </w:pPr>
    <w:rPr>
      <w:sz w:val="20"/>
    </w:rPr>
  </w:style>
  <w:style w:type="paragraph" w:styleId="af5">
    <w:name w:val="header"/>
    <w:basedOn w:val="a"/>
    <w:rsid w:val="000F0C19"/>
    <w:pPr>
      <w:tabs>
        <w:tab w:val="center" w:pos="4819"/>
        <w:tab w:val="right" w:pos="9638"/>
      </w:tabs>
    </w:pPr>
  </w:style>
  <w:style w:type="paragraph" w:styleId="af6">
    <w:name w:val="footer"/>
    <w:basedOn w:val="a"/>
    <w:pPr>
      <w:suppressLineNumbers/>
      <w:tabs>
        <w:tab w:val="center" w:pos="4819"/>
        <w:tab w:val="right" w:pos="9638"/>
      </w:tabs>
    </w:pPr>
  </w:style>
  <w:style w:type="paragraph" w:styleId="af7">
    <w:name w:val="Balloon Text"/>
    <w:basedOn w:val="a0"/>
    <w:pPr>
      <w:suppressAutoHyphens/>
    </w:pPr>
    <w:rPr>
      <w:rFonts w:ascii="Arial" w:eastAsia="新細明體" w:hAnsi="Arial"/>
      <w:sz w:val="16"/>
      <w:szCs w:val="16"/>
    </w:rPr>
  </w:style>
  <w:style w:type="paragraph" w:customStyle="1" w:styleId="af8">
    <w:name w:val="（一）"/>
    <w:basedOn w:val="a0"/>
    <w:rsid w:val="002D39D2"/>
    <w:pPr>
      <w:suppressAutoHyphens/>
      <w:ind w:leftChars="100" w:left="100" w:hangingChars="300" w:hanging="300"/>
    </w:pPr>
    <w:rPr>
      <w:szCs w:val="26"/>
    </w:rPr>
  </w:style>
  <w:style w:type="paragraph" w:customStyle="1" w:styleId="af9">
    <w:name w:val="（一）文"/>
    <w:basedOn w:val="a0"/>
    <w:rsid w:val="007F50EF"/>
    <w:pPr>
      <w:suppressAutoHyphens/>
      <w:ind w:leftChars="400" w:left="400"/>
    </w:pPr>
  </w:style>
  <w:style w:type="paragraph" w:customStyle="1" w:styleId="afa">
    <w:name w:val="索引"/>
    <w:basedOn w:val="a"/>
    <w:pPr>
      <w:suppressLineNumbers/>
    </w:pPr>
  </w:style>
  <w:style w:type="paragraph" w:styleId="11">
    <w:name w:val="toc 1"/>
    <w:basedOn w:val="a0"/>
    <w:next w:val="a0"/>
    <w:autoRedefine/>
    <w:uiPriority w:val="39"/>
    <w:rsid w:val="00933D73"/>
    <w:pPr>
      <w:tabs>
        <w:tab w:val="right" w:leader="dot" w:pos="8494"/>
      </w:tabs>
      <w:ind w:firstLineChars="0" w:firstLine="0"/>
    </w:pPr>
  </w:style>
  <w:style w:type="paragraph" w:customStyle="1" w:styleId="afb">
    <w:name w:val="１、"/>
    <w:basedOn w:val="a0"/>
    <w:rsid w:val="007F50EF"/>
    <w:pPr>
      <w:ind w:leftChars="400" w:left="400" w:hangingChars="200" w:hanging="200"/>
    </w:pPr>
  </w:style>
  <w:style w:type="paragraph" w:styleId="afc">
    <w:name w:val="annotation text"/>
    <w:basedOn w:val="a0"/>
    <w:pPr>
      <w:suppressAutoHyphens/>
      <w:jc w:val="left"/>
    </w:pPr>
  </w:style>
  <w:style w:type="paragraph" w:styleId="afd">
    <w:name w:val="annotation subject"/>
    <w:basedOn w:val="afc"/>
    <w:next w:val="afc"/>
    <w:rPr>
      <w:b/>
      <w:bCs/>
    </w:rPr>
  </w:style>
  <w:style w:type="paragraph" w:customStyle="1" w:styleId="afe">
    <w:name w:val="１、文"/>
    <w:basedOn w:val="afb"/>
    <w:rsid w:val="001A3D1C"/>
    <w:pPr>
      <w:ind w:leftChars="600" w:left="600" w:firstLineChars="200" w:firstLine="200"/>
    </w:pPr>
  </w:style>
  <w:style w:type="paragraph" w:customStyle="1" w:styleId="aff">
    <w:name w:val="表平"/>
    <w:basedOn w:val="a0"/>
    <w:rsid w:val="001D39E3"/>
    <w:pPr>
      <w:suppressAutoHyphens/>
      <w:ind w:firstLineChars="0" w:firstLine="0"/>
      <w:jc w:val="center"/>
      <w:textAlignment w:val="baseline"/>
    </w:pPr>
    <w:rPr>
      <w:kern w:val="0"/>
    </w:rPr>
  </w:style>
  <w:style w:type="paragraph" w:customStyle="1" w:styleId="12">
    <w:name w:val="(1)"/>
    <w:basedOn w:val="af8"/>
    <w:rsid w:val="0089045A"/>
    <w:pPr>
      <w:ind w:leftChars="600" w:left="600" w:hangingChars="250" w:hanging="249"/>
    </w:pPr>
  </w:style>
  <w:style w:type="paragraph" w:customStyle="1" w:styleId="Aff0">
    <w:name w:val="A."/>
    <w:basedOn w:val="12"/>
    <w:rsid w:val="0089045A"/>
    <w:pPr>
      <w:ind w:leftChars="700" w:left="700" w:hangingChars="150" w:hanging="147"/>
    </w:pPr>
  </w:style>
  <w:style w:type="paragraph" w:customStyle="1" w:styleId="aff1">
    <w:name w:val="表標"/>
    <w:basedOn w:val="a0"/>
    <w:qFormat/>
    <w:rsid w:val="004C1279"/>
    <w:pPr>
      <w:suppressAutoHyphens/>
      <w:spacing w:before="100"/>
      <w:ind w:firstLineChars="0" w:firstLine="0"/>
      <w:jc w:val="center"/>
    </w:pPr>
    <w:rPr>
      <w:rFonts w:eastAsia="華康粗圓體"/>
    </w:rPr>
  </w:style>
  <w:style w:type="paragraph" w:customStyle="1" w:styleId="28-">
    <w:name w:val="28-超特黑"/>
    <w:basedOn w:val="a0"/>
    <w:rsid w:val="009E009F"/>
    <w:pPr>
      <w:suppressAutoHyphens/>
      <w:ind w:firstLineChars="0" w:firstLine="0"/>
      <w:jc w:val="center"/>
    </w:pPr>
    <w:rPr>
      <w:rFonts w:ascii="華康超黑體" w:eastAsia="華康超黑體" w:hAnsi="華康超黑體"/>
      <w:sz w:val="56"/>
      <w:szCs w:val="72"/>
    </w:rPr>
  </w:style>
  <w:style w:type="paragraph" w:customStyle="1" w:styleId="aff2">
    <w:name w:val="基本資料表"/>
    <w:basedOn w:val="a0"/>
    <w:pPr>
      <w:suppressAutoHyphens/>
      <w:jc w:val="center"/>
    </w:pPr>
    <w:rPr>
      <w:rFonts w:ascii="華康超黑體" w:eastAsia="華康超黑體" w:hAnsi="華康超黑體"/>
      <w:sz w:val="48"/>
      <w:szCs w:val="48"/>
    </w:rPr>
  </w:style>
  <w:style w:type="paragraph" w:customStyle="1" w:styleId="aff3">
    <w:name w:val="自然人文"/>
    <w:basedOn w:val="a0"/>
    <w:pPr>
      <w:suppressAutoHyphens/>
      <w:jc w:val="center"/>
    </w:pPr>
    <w:rPr>
      <w:rFonts w:ascii="華康粗黑體" w:eastAsia="華康粗黑體" w:hAnsi="華康粗黑體"/>
      <w:sz w:val="32"/>
      <w:szCs w:val="32"/>
    </w:rPr>
  </w:style>
  <w:style w:type="paragraph" w:customStyle="1" w:styleId="-">
    <w:name w:val="基本資料表-平分"/>
    <w:basedOn w:val="a0"/>
    <w:pPr>
      <w:suppressAutoHyphens/>
      <w:ind w:left="118" w:right="118"/>
      <w:jc w:val="left"/>
    </w:pPr>
  </w:style>
  <w:style w:type="paragraph" w:customStyle="1" w:styleId="-0">
    <w:name w:val="基本資料表-左"/>
    <w:basedOn w:val="a0"/>
    <w:pPr>
      <w:suppressAutoHyphens/>
      <w:ind w:left="118" w:right="118"/>
    </w:pPr>
  </w:style>
  <w:style w:type="paragraph" w:customStyle="1" w:styleId="aff4">
    <w:name w:val="壹、"/>
    <w:basedOn w:val="a0"/>
    <w:pPr>
      <w:suppressAutoHyphens/>
      <w:snapToGrid w:val="0"/>
      <w:spacing w:before="480" w:after="480" w:line="520" w:lineRule="exact"/>
      <w:jc w:val="center"/>
    </w:pPr>
    <w:rPr>
      <w:rFonts w:ascii="華康中黑體" w:eastAsia="華康中黑體" w:hAnsi="華康中黑體"/>
      <w:spacing w:val="10"/>
      <w:sz w:val="34"/>
    </w:rPr>
  </w:style>
  <w:style w:type="paragraph" w:customStyle="1" w:styleId="aff5">
    <w:name w:val="版權"/>
    <w:basedOn w:val="a0"/>
    <w:pPr>
      <w:suppressAutoHyphens/>
      <w:spacing w:line="400" w:lineRule="exact"/>
    </w:pPr>
    <w:rPr>
      <w:rFonts w:eastAsia="標楷體"/>
      <w:spacing w:val="4"/>
      <w:sz w:val="26"/>
      <w:lang w:eastAsia="ja-JP"/>
    </w:rPr>
  </w:style>
  <w:style w:type="paragraph" w:styleId="21">
    <w:name w:val="toc 2"/>
    <w:basedOn w:val="a0"/>
    <w:next w:val="a0"/>
    <w:autoRedefine/>
    <w:pPr>
      <w:suppressAutoHyphens/>
      <w:ind w:left="480"/>
    </w:pPr>
    <w:rPr>
      <w:rFonts w:ascii="Calibri" w:eastAsia="新細明體" w:hAnsi="Calibri"/>
      <w:szCs w:val="22"/>
    </w:rPr>
  </w:style>
  <w:style w:type="paragraph" w:styleId="31">
    <w:name w:val="toc 3"/>
    <w:basedOn w:val="a0"/>
    <w:next w:val="a0"/>
    <w:autoRedefine/>
    <w:pPr>
      <w:suppressAutoHyphens/>
      <w:ind w:left="960"/>
    </w:pPr>
    <w:rPr>
      <w:rFonts w:ascii="Calibri" w:eastAsia="新細明體" w:hAnsi="Calibri"/>
      <w:szCs w:val="22"/>
    </w:rPr>
  </w:style>
  <w:style w:type="paragraph" w:styleId="41">
    <w:name w:val="toc 4"/>
    <w:basedOn w:val="a0"/>
    <w:next w:val="a0"/>
    <w:autoRedefine/>
    <w:pPr>
      <w:suppressAutoHyphens/>
      <w:ind w:left="1440"/>
    </w:pPr>
    <w:rPr>
      <w:rFonts w:ascii="Calibri" w:eastAsia="新細明體" w:hAnsi="Calibri"/>
      <w:szCs w:val="22"/>
    </w:rPr>
  </w:style>
  <w:style w:type="paragraph" w:styleId="51">
    <w:name w:val="toc 5"/>
    <w:basedOn w:val="a0"/>
    <w:next w:val="a0"/>
    <w:autoRedefine/>
    <w:pPr>
      <w:suppressAutoHyphens/>
      <w:ind w:left="1920"/>
    </w:pPr>
    <w:rPr>
      <w:rFonts w:ascii="Calibri" w:eastAsia="新細明體" w:hAnsi="Calibri"/>
      <w:szCs w:val="22"/>
    </w:rPr>
  </w:style>
  <w:style w:type="paragraph" w:styleId="61">
    <w:name w:val="toc 6"/>
    <w:basedOn w:val="a0"/>
    <w:next w:val="a0"/>
    <w:autoRedefine/>
    <w:pPr>
      <w:suppressAutoHyphens/>
      <w:ind w:left="2400"/>
    </w:pPr>
    <w:rPr>
      <w:rFonts w:ascii="Calibri" w:eastAsia="新細明體" w:hAnsi="Calibri"/>
      <w:szCs w:val="22"/>
    </w:rPr>
  </w:style>
  <w:style w:type="paragraph" w:styleId="71">
    <w:name w:val="toc 7"/>
    <w:basedOn w:val="a0"/>
    <w:next w:val="a0"/>
    <w:autoRedefine/>
    <w:pPr>
      <w:suppressAutoHyphens/>
      <w:ind w:left="2880"/>
    </w:pPr>
    <w:rPr>
      <w:rFonts w:ascii="Calibri" w:eastAsia="新細明體" w:hAnsi="Calibri"/>
      <w:szCs w:val="22"/>
    </w:rPr>
  </w:style>
  <w:style w:type="paragraph" w:styleId="81">
    <w:name w:val="toc 8"/>
    <w:basedOn w:val="a0"/>
    <w:next w:val="a0"/>
    <w:autoRedefine/>
    <w:pPr>
      <w:suppressAutoHyphens/>
      <w:ind w:left="3360"/>
    </w:pPr>
    <w:rPr>
      <w:rFonts w:ascii="Calibri" w:eastAsia="新細明體" w:hAnsi="Calibri"/>
      <w:szCs w:val="22"/>
    </w:rPr>
  </w:style>
  <w:style w:type="paragraph" w:styleId="91">
    <w:name w:val="toc 9"/>
    <w:basedOn w:val="a0"/>
    <w:next w:val="a0"/>
    <w:autoRedefine/>
    <w:pPr>
      <w:suppressAutoHyphens/>
      <w:ind w:left="3840"/>
    </w:pPr>
    <w:rPr>
      <w:rFonts w:ascii="Calibri" w:eastAsia="新細明體" w:hAnsi="Calibri"/>
      <w:szCs w:val="22"/>
    </w:rPr>
  </w:style>
  <w:style w:type="paragraph" w:styleId="aff6">
    <w:name w:val="toa heading"/>
    <w:basedOn w:val="1"/>
    <w:next w:val="a0"/>
    <w:pPr>
      <w:keepLines/>
      <w:tabs>
        <w:tab w:val="clear" w:pos="0"/>
      </w:tabs>
      <w:spacing w:before="480" w:after="0" w:line="276" w:lineRule="auto"/>
    </w:pPr>
    <w:rPr>
      <w:rFonts w:ascii="Cambria" w:hAnsi="Cambria"/>
      <w:color w:val="365F91"/>
      <w:kern w:val="0"/>
      <w:sz w:val="28"/>
      <w:szCs w:val="28"/>
    </w:rPr>
  </w:style>
  <w:style w:type="paragraph" w:customStyle="1" w:styleId="13">
    <w:name w:val="目錄標題1"/>
    <w:basedOn w:val="1"/>
    <w:next w:val="a0"/>
    <w:pPr>
      <w:keepLines/>
      <w:tabs>
        <w:tab w:val="clear" w:pos="0"/>
      </w:tabs>
      <w:spacing w:before="480" w:after="0" w:line="276" w:lineRule="auto"/>
    </w:pPr>
    <w:rPr>
      <w:rFonts w:ascii="Cambria" w:hAnsi="Cambria"/>
      <w:color w:val="365F91"/>
      <w:kern w:val="0"/>
      <w:sz w:val="28"/>
      <w:szCs w:val="28"/>
    </w:rPr>
  </w:style>
  <w:style w:type="paragraph" w:customStyle="1" w:styleId="14">
    <w:name w:val="(1)文"/>
    <w:basedOn w:val="12"/>
    <w:rsid w:val="004A54B3"/>
    <w:pPr>
      <w:ind w:leftChars="850" w:left="850" w:firstLineChars="250" w:firstLine="250"/>
    </w:pPr>
    <w:rPr>
      <w:szCs w:val="24"/>
    </w:rPr>
  </w:style>
  <w:style w:type="paragraph" w:customStyle="1" w:styleId="Aff7">
    <w:name w:val="(A)"/>
    <w:basedOn w:val="12"/>
    <w:pPr>
      <w:ind w:left="1000" w:firstLine="0"/>
    </w:pPr>
    <w:rPr>
      <w:szCs w:val="24"/>
    </w:rPr>
  </w:style>
  <w:style w:type="paragraph" w:customStyle="1" w:styleId="aff8">
    <w:name w:val="框架內容"/>
    <w:basedOn w:val="a"/>
  </w:style>
  <w:style w:type="paragraph" w:customStyle="1" w:styleId="aff9">
    <w:name w:val="表格內容"/>
    <w:basedOn w:val="a"/>
    <w:pPr>
      <w:suppressLineNumbers/>
    </w:pPr>
  </w:style>
  <w:style w:type="paragraph" w:styleId="affa">
    <w:name w:val="List Paragraph"/>
    <w:basedOn w:val="a"/>
    <w:qFormat/>
    <w:pPr>
      <w:ind w:left="480"/>
    </w:pPr>
    <w:rPr>
      <w:rFonts w:ascii="Calibri" w:hAnsi="Calibri" w:cs="Calibri"/>
      <w:szCs w:val="24"/>
    </w:rPr>
  </w:style>
  <w:style w:type="paragraph" w:customStyle="1" w:styleId="15">
    <w:name w:val="清單段落1"/>
    <w:basedOn w:val="a"/>
    <w:pPr>
      <w:ind w:left="480"/>
    </w:pPr>
  </w:style>
  <w:style w:type="paragraph" w:customStyle="1" w:styleId="affb">
    <w:name w:val="表格標題"/>
    <w:basedOn w:val="aff9"/>
    <w:pPr>
      <w:jc w:val="center"/>
    </w:pPr>
    <w:rPr>
      <w:b/>
      <w:bCs/>
    </w:rPr>
  </w:style>
  <w:style w:type="numbering" w:customStyle="1" w:styleId="WW8Num16">
    <w:name w:val="WW8Num16"/>
    <w:basedOn w:val="a3"/>
    <w:rsid w:val="00241318"/>
    <w:pPr>
      <w:numPr>
        <w:numId w:val="15"/>
      </w:numPr>
    </w:pPr>
  </w:style>
  <w:style w:type="table" w:styleId="affc">
    <w:name w:val="Table Grid"/>
    <w:basedOn w:val="a2"/>
    <w:uiPriority w:val="59"/>
    <w:rsid w:val="000D4E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uiPriority="0"/>
    <w:lsdException w:name="footer" w:uiPriority="0"/>
    <w:lsdException w:name="caption" w:uiPriority="35" w:qFormat="1"/>
    <w:lsdException w:name="footnote reference" w:uiPriority="0"/>
    <w:lsdException w:name="annotation reference" w:uiPriority="0"/>
    <w:lsdException w:name="page number" w:uiPriority="0"/>
    <w:lsdException w:name="endnote reference" w:uiPriority="0"/>
    <w:lsdException w:name="toa heading"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Normal (Web)"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1F63"/>
    <w:pPr>
      <w:widowControl w:val="0"/>
      <w:pBdr>
        <w:top w:val="none" w:sz="0" w:space="0" w:color="000000"/>
        <w:left w:val="none" w:sz="0" w:space="0" w:color="000000"/>
        <w:bottom w:val="none" w:sz="0" w:space="0" w:color="000000"/>
        <w:right w:val="none" w:sz="0" w:space="0" w:color="000000"/>
      </w:pBdr>
      <w:overflowPunct w:val="0"/>
      <w:autoSpaceDE w:val="0"/>
      <w:autoSpaceDN w:val="0"/>
      <w:jc w:val="both"/>
    </w:pPr>
    <w:rPr>
      <w:rFonts w:eastAsia="華康細圓體"/>
      <w:sz w:val="24"/>
    </w:rPr>
  </w:style>
  <w:style w:type="paragraph" w:styleId="1">
    <w:name w:val="heading 1"/>
    <w:basedOn w:val="a0"/>
    <w:next w:val="a0"/>
    <w:qFormat/>
    <w:pPr>
      <w:keepNext/>
      <w:tabs>
        <w:tab w:val="num" w:pos="0"/>
      </w:tabs>
      <w:suppressAutoHyphens/>
      <w:spacing w:before="180" w:after="180" w:line="720" w:lineRule="auto"/>
      <w:outlineLvl w:val="0"/>
    </w:pPr>
    <w:rPr>
      <w:rFonts w:ascii="Arial" w:eastAsia="新細明體" w:hAnsi="Arial"/>
      <w:b/>
      <w:bCs/>
      <w:sz w:val="52"/>
      <w:szCs w:val="52"/>
    </w:rPr>
  </w:style>
  <w:style w:type="paragraph" w:styleId="2">
    <w:name w:val="heading 2"/>
    <w:basedOn w:val="a0"/>
    <w:next w:val="a0"/>
    <w:qFormat/>
    <w:pPr>
      <w:keepNext/>
      <w:tabs>
        <w:tab w:val="num" w:pos="0"/>
      </w:tabs>
      <w:suppressAutoHyphens/>
      <w:spacing w:line="720" w:lineRule="auto"/>
      <w:outlineLvl w:val="1"/>
    </w:pPr>
    <w:rPr>
      <w:rFonts w:ascii="Arial" w:eastAsia="新細明體" w:hAnsi="Arial"/>
      <w:b/>
      <w:bCs/>
      <w:sz w:val="48"/>
      <w:szCs w:val="48"/>
    </w:rPr>
  </w:style>
  <w:style w:type="paragraph" w:styleId="3">
    <w:name w:val="heading 3"/>
    <w:basedOn w:val="a0"/>
    <w:next w:val="a0"/>
    <w:qFormat/>
    <w:pPr>
      <w:keepNext/>
      <w:tabs>
        <w:tab w:val="num" w:pos="0"/>
      </w:tabs>
      <w:suppressAutoHyphens/>
      <w:spacing w:line="720" w:lineRule="auto"/>
      <w:outlineLvl w:val="2"/>
    </w:pPr>
    <w:rPr>
      <w:rFonts w:ascii="Arial" w:eastAsia="新細明體" w:hAnsi="Arial"/>
      <w:b/>
      <w:bCs/>
      <w:sz w:val="36"/>
      <w:szCs w:val="36"/>
    </w:rPr>
  </w:style>
  <w:style w:type="paragraph" w:styleId="4">
    <w:name w:val="heading 4"/>
    <w:basedOn w:val="a0"/>
    <w:next w:val="a0"/>
    <w:qFormat/>
    <w:pPr>
      <w:keepNext/>
      <w:tabs>
        <w:tab w:val="num" w:pos="0"/>
      </w:tabs>
      <w:suppressAutoHyphens/>
      <w:spacing w:line="720" w:lineRule="auto"/>
      <w:outlineLvl w:val="3"/>
    </w:pPr>
    <w:rPr>
      <w:rFonts w:ascii="Cambria" w:eastAsia="新細明體" w:hAnsi="Cambria"/>
      <w:sz w:val="36"/>
      <w:szCs w:val="36"/>
    </w:rPr>
  </w:style>
  <w:style w:type="paragraph" w:styleId="5">
    <w:name w:val="heading 5"/>
    <w:basedOn w:val="a0"/>
    <w:next w:val="a0"/>
    <w:qFormat/>
    <w:pPr>
      <w:keepNext/>
      <w:tabs>
        <w:tab w:val="num" w:pos="0"/>
      </w:tabs>
      <w:suppressAutoHyphens/>
      <w:spacing w:line="720" w:lineRule="auto"/>
      <w:outlineLvl w:val="4"/>
    </w:pPr>
    <w:rPr>
      <w:rFonts w:ascii="Cambria" w:eastAsia="新細明體" w:hAnsi="Cambria"/>
      <w:b/>
      <w:bCs/>
      <w:sz w:val="36"/>
      <w:szCs w:val="36"/>
    </w:rPr>
  </w:style>
  <w:style w:type="paragraph" w:styleId="6">
    <w:name w:val="heading 6"/>
    <w:basedOn w:val="a0"/>
    <w:next w:val="a0"/>
    <w:qFormat/>
    <w:pPr>
      <w:keepNext/>
      <w:tabs>
        <w:tab w:val="num" w:pos="0"/>
      </w:tabs>
      <w:suppressAutoHyphens/>
      <w:spacing w:line="720" w:lineRule="auto"/>
      <w:outlineLvl w:val="5"/>
    </w:pPr>
    <w:rPr>
      <w:rFonts w:ascii="Cambria" w:eastAsia="新細明體" w:hAnsi="Cambria"/>
      <w:sz w:val="36"/>
      <w:szCs w:val="36"/>
    </w:rPr>
  </w:style>
  <w:style w:type="paragraph" w:styleId="7">
    <w:name w:val="heading 7"/>
    <w:basedOn w:val="a0"/>
    <w:next w:val="a0"/>
    <w:qFormat/>
    <w:pPr>
      <w:keepNext/>
      <w:tabs>
        <w:tab w:val="num" w:pos="0"/>
      </w:tabs>
      <w:suppressAutoHyphens/>
      <w:spacing w:line="720" w:lineRule="auto"/>
      <w:outlineLvl w:val="6"/>
    </w:pPr>
    <w:rPr>
      <w:rFonts w:ascii="Cambria" w:eastAsia="新細明體" w:hAnsi="Cambria"/>
      <w:b/>
      <w:bCs/>
      <w:sz w:val="36"/>
      <w:szCs w:val="36"/>
    </w:rPr>
  </w:style>
  <w:style w:type="paragraph" w:styleId="8">
    <w:name w:val="heading 8"/>
    <w:basedOn w:val="a0"/>
    <w:next w:val="a0"/>
    <w:qFormat/>
    <w:pPr>
      <w:keepNext/>
      <w:tabs>
        <w:tab w:val="num" w:pos="0"/>
      </w:tabs>
      <w:suppressAutoHyphens/>
      <w:spacing w:line="720" w:lineRule="auto"/>
      <w:outlineLvl w:val="7"/>
    </w:pPr>
    <w:rPr>
      <w:rFonts w:ascii="Cambria" w:eastAsia="新細明體" w:hAnsi="Cambria"/>
      <w:sz w:val="36"/>
      <w:szCs w:val="36"/>
    </w:rPr>
  </w:style>
  <w:style w:type="paragraph" w:styleId="9">
    <w:name w:val="heading 9"/>
    <w:basedOn w:val="a0"/>
    <w:next w:val="a0"/>
    <w:qFormat/>
    <w:pPr>
      <w:keepNext/>
      <w:tabs>
        <w:tab w:val="num" w:pos="0"/>
      </w:tabs>
      <w:suppressAutoHyphens/>
      <w:spacing w:line="720" w:lineRule="auto"/>
      <w:outlineLvl w:val="8"/>
    </w:pPr>
    <w:rPr>
      <w:rFonts w:ascii="Cambria" w:eastAsia="新細明體" w:hAnsi="Cambria"/>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標題 1 字元"/>
    <w:rPr>
      <w:rFonts w:ascii="Arial" w:eastAsia="新細明體" w:hAnsi="Arial"/>
      <w:b/>
      <w:bCs/>
      <w:kern w:val="1"/>
      <w:sz w:val="52"/>
      <w:szCs w:val="52"/>
      <w:lang w:val="en-US" w:eastAsia="zh-CN" w:bidi="ar-SA"/>
    </w:rPr>
  </w:style>
  <w:style w:type="character" w:customStyle="1" w:styleId="20">
    <w:name w:val="標題 2 字元"/>
    <w:rPr>
      <w:rFonts w:ascii="Arial" w:eastAsia="新細明體" w:hAnsi="Arial"/>
      <w:b/>
      <w:bCs/>
      <w:kern w:val="1"/>
      <w:sz w:val="48"/>
      <w:szCs w:val="48"/>
      <w:lang w:val="en-US" w:eastAsia="zh-CN" w:bidi="ar-SA"/>
    </w:rPr>
  </w:style>
  <w:style w:type="character" w:customStyle="1" w:styleId="30">
    <w:name w:val="標題 3 字元"/>
    <w:rPr>
      <w:rFonts w:ascii="Arial" w:eastAsia="新細明體" w:hAnsi="Arial"/>
      <w:b/>
      <w:bCs/>
      <w:kern w:val="1"/>
      <w:sz w:val="36"/>
      <w:szCs w:val="36"/>
      <w:lang w:val="en-US" w:eastAsia="zh-CN" w:bidi="ar-SA"/>
    </w:rPr>
  </w:style>
  <w:style w:type="character" w:customStyle="1" w:styleId="40">
    <w:name w:val="標題 4 字元"/>
    <w:rPr>
      <w:rFonts w:ascii="Cambria" w:eastAsia="新細明體" w:hAnsi="Cambria"/>
      <w:kern w:val="1"/>
      <w:sz w:val="36"/>
      <w:szCs w:val="36"/>
      <w:lang w:val="en-US" w:eastAsia="zh-CN" w:bidi="ar-SA"/>
    </w:rPr>
  </w:style>
  <w:style w:type="character" w:customStyle="1" w:styleId="50">
    <w:name w:val="標題 5 字元"/>
    <w:rPr>
      <w:rFonts w:ascii="Cambria" w:eastAsia="新細明體" w:hAnsi="Cambria"/>
      <w:b/>
      <w:bCs/>
      <w:kern w:val="1"/>
      <w:sz w:val="36"/>
      <w:szCs w:val="36"/>
      <w:lang w:val="en-US" w:eastAsia="zh-CN" w:bidi="ar-SA"/>
    </w:rPr>
  </w:style>
  <w:style w:type="character" w:customStyle="1" w:styleId="60">
    <w:name w:val="標題 6 字元"/>
    <w:rPr>
      <w:rFonts w:ascii="Cambria" w:eastAsia="新細明體" w:hAnsi="Cambria"/>
      <w:kern w:val="1"/>
      <w:sz w:val="36"/>
      <w:szCs w:val="36"/>
      <w:lang w:val="en-US" w:eastAsia="zh-CN" w:bidi="ar-SA"/>
    </w:rPr>
  </w:style>
  <w:style w:type="character" w:customStyle="1" w:styleId="70">
    <w:name w:val="標題 7 字元"/>
    <w:rPr>
      <w:rFonts w:ascii="Cambria" w:eastAsia="新細明體" w:hAnsi="Cambria"/>
      <w:b/>
      <w:bCs/>
      <w:kern w:val="1"/>
      <w:sz w:val="36"/>
      <w:szCs w:val="36"/>
      <w:lang w:val="en-US" w:eastAsia="zh-CN" w:bidi="ar-SA"/>
    </w:rPr>
  </w:style>
  <w:style w:type="character" w:customStyle="1" w:styleId="80">
    <w:name w:val="標題 8 字元"/>
    <w:rPr>
      <w:rFonts w:ascii="Cambria" w:eastAsia="新細明體" w:hAnsi="Cambria"/>
      <w:kern w:val="1"/>
      <w:sz w:val="36"/>
      <w:szCs w:val="36"/>
      <w:lang w:val="en-US" w:eastAsia="zh-CN" w:bidi="ar-SA"/>
    </w:rPr>
  </w:style>
  <w:style w:type="character" w:customStyle="1" w:styleId="90">
    <w:name w:val="標題 9 字元"/>
    <w:rPr>
      <w:rFonts w:ascii="Cambria" w:eastAsia="新細明體" w:hAnsi="Cambria"/>
      <w:kern w:val="1"/>
      <w:sz w:val="36"/>
      <w:szCs w:val="36"/>
      <w:lang w:val="en-US" w:eastAsia="zh-CN" w:bidi="ar-SA"/>
    </w:rPr>
  </w:style>
  <w:style w:type="character" w:customStyle="1" w:styleId="a4">
    <w:name w:val="註腳文字 字元"/>
    <w:rPr>
      <w:rFonts w:eastAsia="華康細圓體"/>
      <w:kern w:val="1"/>
      <w:lang w:val="en-US" w:eastAsia="ar-SA" w:bidi="ar-SA"/>
    </w:rPr>
  </w:style>
  <w:style w:type="character" w:customStyle="1" w:styleId="a5">
    <w:name w:val="頁首 字元"/>
    <w:rPr>
      <w:rFonts w:ascii="華康細圓體" w:eastAsia="華康細圓體" w:hAnsi="華康細圓體"/>
      <w:kern w:val="1"/>
      <w:sz w:val="24"/>
      <w:szCs w:val="24"/>
      <w:lang w:val="en-US" w:eastAsia="zh-CN" w:bidi="ar-SA"/>
    </w:rPr>
  </w:style>
  <w:style w:type="character" w:customStyle="1" w:styleId="a6">
    <w:name w:val="頁尾 字元"/>
    <w:rPr>
      <w:rFonts w:ascii="華康細圓體" w:eastAsia="華康細圓體" w:hAnsi="華康細圓體"/>
      <w:kern w:val="1"/>
      <w:sz w:val="24"/>
      <w:szCs w:val="24"/>
      <w:lang w:val="en-US" w:eastAsia="zh-CN" w:bidi="ar-SA"/>
    </w:rPr>
  </w:style>
  <w:style w:type="character" w:customStyle="1" w:styleId="a7">
    <w:name w:val="註解方塊文字 字元"/>
    <w:rPr>
      <w:rFonts w:ascii="Arial" w:eastAsia="新細明體" w:hAnsi="Arial"/>
      <w:kern w:val="1"/>
      <w:sz w:val="16"/>
      <w:szCs w:val="16"/>
      <w:lang w:val="en-US" w:eastAsia="zh-CN" w:bidi="ar-SA"/>
    </w:rPr>
  </w:style>
  <w:style w:type="character" w:styleId="a8">
    <w:name w:val="page number"/>
    <w:rPr>
      <w:sz w:val="20"/>
    </w:rPr>
  </w:style>
  <w:style w:type="character" w:styleId="a9">
    <w:name w:val="footnote reference"/>
    <w:rPr>
      <w:vertAlign w:val="superscript"/>
    </w:rPr>
  </w:style>
  <w:style w:type="character" w:styleId="aa">
    <w:name w:val="annotation reference"/>
    <w:rPr>
      <w:sz w:val="18"/>
      <w:szCs w:val="18"/>
    </w:rPr>
  </w:style>
  <w:style w:type="character" w:customStyle="1" w:styleId="ab">
    <w:name w:val="註解文字 字元"/>
    <w:rPr>
      <w:rFonts w:eastAsia="華康細圓體"/>
      <w:kern w:val="1"/>
      <w:sz w:val="24"/>
      <w:szCs w:val="24"/>
      <w:lang w:val="en-US" w:eastAsia="zh-CN" w:bidi="ar-SA"/>
    </w:rPr>
  </w:style>
  <w:style w:type="character" w:customStyle="1" w:styleId="ac">
    <w:name w:val="註解主旨 字元"/>
    <w:rPr>
      <w:rFonts w:eastAsia="華康細圓體"/>
      <w:b/>
      <w:bCs/>
      <w:kern w:val="1"/>
      <w:sz w:val="24"/>
      <w:szCs w:val="24"/>
      <w:lang w:val="en-US" w:eastAsia="zh-CN" w:bidi="ar-SA"/>
    </w:rPr>
  </w:style>
  <w:style w:type="character" w:styleId="ad">
    <w:name w:val="Hyperlink"/>
    <w:uiPriority w:val="99"/>
    <w:rPr>
      <w:color w:val="0000FF"/>
      <w:u w:val="single"/>
    </w:rPr>
  </w:style>
  <w:style w:type="character" w:customStyle="1" w:styleId="ae">
    <w:name w:val="註腳字元"/>
  </w:style>
  <w:style w:type="character" w:styleId="af">
    <w:name w:val="endnote reference"/>
    <w:rPr>
      <w:vertAlign w:val="superscript"/>
    </w:rPr>
  </w:style>
  <w:style w:type="character" w:customStyle="1" w:styleId="af0">
    <w:name w:val="尾註字元"/>
  </w:style>
  <w:style w:type="paragraph" w:styleId="af1">
    <w:name w:val="Title"/>
    <w:basedOn w:val="a"/>
    <w:next w:val="a0"/>
    <w:qFormat/>
    <w:pPr>
      <w:keepNext/>
      <w:spacing w:before="240" w:after="120"/>
    </w:pPr>
    <w:rPr>
      <w:rFonts w:ascii="Liberation Sans" w:eastAsia="微軟正黑體" w:hAnsi="Liberation Sans" w:cs="Tahoma"/>
      <w:sz w:val="28"/>
      <w:szCs w:val="28"/>
    </w:rPr>
  </w:style>
  <w:style w:type="paragraph" w:styleId="a0">
    <w:name w:val="Body Text"/>
    <w:basedOn w:val="a"/>
    <w:rsid w:val="006F3E9A"/>
    <w:pPr>
      <w:ind w:firstLineChars="200" w:firstLine="200"/>
    </w:pPr>
    <w:rPr>
      <w:kern w:val="1"/>
      <w:lang w:val="x-none"/>
    </w:rPr>
  </w:style>
  <w:style w:type="paragraph" w:customStyle="1" w:styleId="af2">
    <w:name w:val="大標"/>
    <w:basedOn w:val="a0"/>
    <w:rsid w:val="004C1279"/>
    <w:pPr>
      <w:spacing w:beforeLines="100" w:before="100" w:afterLines="150" w:after="150"/>
      <w:ind w:firstLineChars="0" w:firstLine="0"/>
      <w:jc w:val="center"/>
    </w:pPr>
    <w:rPr>
      <w:rFonts w:ascii="華康新特明體(P)" w:eastAsia="華康新特明體(P)" w:hAnsi="華康新特明體(P)"/>
      <w:sz w:val="40"/>
      <w:lang w:eastAsia="ja-JP"/>
    </w:rPr>
  </w:style>
  <w:style w:type="paragraph" w:customStyle="1" w:styleId="af3">
    <w:name w:val="一、"/>
    <w:basedOn w:val="a0"/>
    <w:rsid w:val="004639A0"/>
    <w:pPr>
      <w:spacing w:beforeLines="50" w:before="50" w:afterLines="50" w:after="50"/>
      <w:ind w:hangingChars="200" w:hanging="200"/>
    </w:pPr>
    <w:rPr>
      <w:rFonts w:ascii="華康粗明體" w:eastAsia="華康粗明體" w:hAnsi="華康粗明體"/>
      <w:color w:val="000000"/>
      <w:sz w:val="32"/>
    </w:rPr>
  </w:style>
  <w:style w:type="paragraph" w:styleId="af4">
    <w:name w:val="footnote text"/>
    <w:basedOn w:val="a"/>
    <w:rsid w:val="004A569E"/>
    <w:pPr>
      <w:snapToGrid w:val="0"/>
      <w:ind w:hangingChars="150" w:hanging="150"/>
    </w:pPr>
    <w:rPr>
      <w:sz w:val="20"/>
    </w:rPr>
  </w:style>
  <w:style w:type="paragraph" w:styleId="af5">
    <w:name w:val="header"/>
    <w:basedOn w:val="a"/>
    <w:rsid w:val="000F0C19"/>
    <w:pPr>
      <w:tabs>
        <w:tab w:val="center" w:pos="4819"/>
        <w:tab w:val="right" w:pos="9638"/>
      </w:tabs>
    </w:pPr>
  </w:style>
  <w:style w:type="paragraph" w:styleId="af6">
    <w:name w:val="footer"/>
    <w:basedOn w:val="a"/>
    <w:pPr>
      <w:suppressLineNumbers/>
      <w:tabs>
        <w:tab w:val="center" w:pos="4819"/>
        <w:tab w:val="right" w:pos="9638"/>
      </w:tabs>
    </w:pPr>
  </w:style>
  <w:style w:type="paragraph" w:styleId="af7">
    <w:name w:val="Balloon Text"/>
    <w:basedOn w:val="a0"/>
    <w:pPr>
      <w:suppressAutoHyphens/>
    </w:pPr>
    <w:rPr>
      <w:rFonts w:ascii="Arial" w:eastAsia="新細明體" w:hAnsi="Arial"/>
      <w:sz w:val="16"/>
      <w:szCs w:val="16"/>
    </w:rPr>
  </w:style>
  <w:style w:type="paragraph" w:customStyle="1" w:styleId="af8">
    <w:name w:val="（一）"/>
    <w:basedOn w:val="a0"/>
    <w:rsid w:val="002D39D2"/>
    <w:pPr>
      <w:suppressAutoHyphens/>
      <w:ind w:leftChars="100" w:left="100" w:hangingChars="300" w:hanging="300"/>
    </w:pPr>
    <w:rPr>
      <w:szCs w:val="26"/>
    </w:rPr>
  </w:style>
  <w:style w:type="paragraph" w:customStyle="1" w:styleId="af9">
    <w:name w:val="（一）文"/>
    <w:basedOn w:val="a0"/>
    <w:rsid w:val="007F50EF"/>
    <w:pPr>
      <w:suppressAutoHyphens/>
      <w:ind w:leftChars="400" w:left="400"/>
    </w:pPr>
  </w:style>
  <w:style w:type="paragraph" w:customStyle="1" w:styleId="afa">
    <w:name w:val="索引"/>
    <w:basedOn w:val="a"/>
    <w:pPr>
      <w:suppressLineNumbers/>
    </w:pPr>
  </w:style>
  <w:style w:type="paragraph" w:styleId="11">
    <w:name w:val="toc 1"/>
    <w:basedOn w:val="a0"/>
    <w:next w:val="a0"/>
    <w:autoRedefine/>
    <w:uiPriority w:val="39"/>
    <w:rsid w:val="00933D73"/>
    <w:pPr>
      <w:tabs>
        <w:tab w:val="right" w:leader="dot" w:pos="8494"/>
      </w:tabs>
      <w:ind w:firstLineChars="0" w:firstLine="0"/>
    </w:pPr>
  </w:style>
  <w:style w:type="paragraph" w:customStyle="1" w:styleId="afb">
    <w:name w:val="１、"/>
    <w:basedOn w:val="a0"/>
    <w:rsid w:val="007F50EF"/>
    <w:pPr>
      <w:ind w:leftChars="400" w:left="400" w:hangingChars="200" w:hanging="200"/>
    </w:pPr>
  </w:style>
  <w:style w:type="paragraph" w:styleId="afc">
    <w:name w:val="annotation text"/>
    <w:basedOn w:val="a0"/>
    <w:pPr>
      <w:suppressAutoHyphens/>
      <w:jc w:val="left"/>
    </w:pPr>
  </w:style>
  <w:style w:type="paragraph" w:styleId="afd">
    <w:name w:val="annotation subject"/>
    <w:basedOn w:val="afc"/>
    <w:next w:val="afc"/>
    <w:rPr>
      <w:b/>
      <w:bCs/>
    </w:rPr>
  </w:style>
  <w:style w:type="paragraph" w:customStyle="1" w:styleId="afe">
    <w:name w:val="１、文"/>
    <w:basedOn w:val="afb"/>
    <w:rsid w:val="001A3D1C"/>
    <w:pPr>
      <w:ind w:leftChars="600" w:left="600" w:firstLineChars="200" w:firstLine="200"/>
    </w:pPr>
  </w:style>
  <w:style w:type="paragraph" w:customStyle="1" w:styleId="aff">
    <w:name w:val="表平"/>
    <w:basedOn w:val="a0"/>
    <w:rsid w:val="001D39E3"/>
    <w:pPr>
      <w:suppressAutoHyphens/>
      <w:ind w:firstLineChars="0" w:firstLine="0"/>
      <w:jc w:val="center"/>
      <w:textAlignment w:val="baseline"/>
    </w:pPr>
    <w:rPr>
      <w:kern w:val="0"/>
    </w:rPr>
  </w:style>
  <w:style w:type="paragraph" w:customStyle="1" w:styleId="12">
    <w:name w:val="(1)"/>
    <w:basedOn w:val="af8"/>
    <w:rsid w:val="0089045A"/>
    <w:pPr>
      <w:ind w:leftChars="600" w:left="600" w:hangingChars="250" w:hanging="249"/>
    </w:pPr>
  </w:style>
  <w:style w:type="paragraph" w:customStyle="1" w:styleId="Aff0">
    <w:name w:val="A."/>
    <w:basedOn w:val="12"/>
    <w:rsid w:val="0089045A"/>
    <w:pPr>
      <w:ind w:leftChars="700" w:left="700" w:hangingChars="150" w:hanging="147"/>
    </w:pPr>
  </w:style>
  <w:style w:type="paragraph" w:customStyle="1" w:styleId="aff1">
    <w:name w:val="表標"/>
    <w:basedOn w:val="a0"/>
    <w:qFormat/>
    <w:rsid w:val="004C1279"/>
    <w:pPr>
      <w:suppressAutoHyphens/>
      <w:spacing w:before="100"/>
      <w:ind w:firstLineChars="0" w:firstLine="0"/>
      <w:jc w:val="center"/>
    </w:pPr>
    <w:rPr>
      <w:rFonts w:eastAsia="華康粗圓體"/>
    </w:rPr>
  </w:style>
  <w:style w:type="paragraph" w:customStyle="1" w:styleId="28-">
    <w:name w:val="28-超特黑"/>
    <w:basedOn w:val="a0"/>
    <w:rsid w:val="009E009F"/>
    <w:pPr>
      <w:suppressAutoHyphens/>
      <w:ind w:firstLineChars="0" w:firstLine="0"/>
      <w:jc w:val="center"/>
    </w:pPr>
    <w:rPr>
      <w:rFonts w:ascii="華康超黑體" w:eastAsia="華康超黑體" w:hAnsi="華康超黑體"/>
      <w:sz w:val="56"/>
      <w:szCs w:val="72"/>
    </w:rPr>
  </w:style>
  <w:style w:type="paragraph" w:customStyle="1" w:styleId="aff2">
    <w:name w:val="基本資料表"/>
    <w:basedOn w:val="a0"/>
    <w:pPr>
      <w:suppressAutoHyphens/>
      <w:jc w:val="center"/>
    </w:pPr>
    <w:rPr>
      <w:rFonts w:ascii="華康超黑體" w:eastAsia="華康超黑體" w:hAnsi="華康超黑體"/>
      <w:sz w:val="48"/>
      <w:szCs w:val="48"/>
    </w:rPr>
  </w:style>
  <w:style w:type="paragraph" w:customStyle="1" w:styleId="aff3">
    <w:name w:val="自然人文"/>
    <w:basedOn w:val="a0"/>
    <w:pPr>
      <w:suppressAutoHyphens/>
      <w:jc w:val="center"/>
    </w:pPr>
    <w:rPr>
      <w:rFonts w:ascii="華康粗黑體" w:eastAsia="華康粗黑體" w:hAnsi="華康粗黑體"/>
      <w:sz w:val="32"/>
      <w:szCs w:val="32"/>
    </w:rPr>
  </w:style>
  <w:style w:type="paragraph" w:customStyle="1" w:styleId="-">
    <w:name w:val="基本資料表-平分"/>
    <w:basedOn w:val="a0"/>
    <w:pPr>
      <w:suppressAutoHyphens/>
      <w:ind w:left="118" w:right="118"/>
      <w:jc w:val="left"/>
    </w:pPr>
  </w:style>
  <w:style w:type="paragraph" w:customStyle="1" w:styleId="-0">
    <w:name w:val="基本資料表-左"/>
    <w:basedOn w:val="a0"/>
    <w:pPr>
      <w:suppressAutoHyphens/>
      <w:ind w:left="118" w:right="118"/>
    </w:pPr>
  </w:style>
  <w:style w:type="paragraph" w:customStyle="1" w:styleId="aff4">
    <w:name w:val="壹、"/>
    <w:basedOn w:val="a0"/>
    <w:pPr>
      <w:suppressAutoHyphens/>
      <w:snapToGrid w:val="0"/>
      <w:spacing w:before="480" w:after="480" w:line="520" w:lineRule="exact"/>
      <w:jc w:val="center"/>
    </w:pPr>
    <w:rPr>
      <w:rFonts w:ascii="華康中黑體" w:eastAsia="華康中黑體" w:hAnsi="華康中黑體"/>
      <w:spacing w:val="10"/>
      <w:sz w:val="34"/>
    </w:rPr>
  </w:style>
  <w:style w:type="paragraph" w:customStyle="1" w:styleId="aff5">
    <w:name w:val="版權"/>
    <w:basedOn w:val="a0"/>
    <w:pPr>
      <w:suppressAutoHyphens/>
      <w:spacing w:line="400" w:lineRule="exact"/>
    </w:pPr>
    <w:rPr>
      <w:rFonts w:eastAsia="標楷體"/>
      <w:spacing w:val="4"/>
      <w:sz w:val="26"/>
      <w:lang w:eastAsia="ja-JP"/>
    </w:rPr>
  </w:style>
  <w:style w:type="paragraph" w:styleId="21">
    <w:name w:val="toc 2"/>
    <w:basedOn w:val="a0"/>
    <w:next w:val="a0"/>
    <w:autoRedefine/>
    <w:pPr>
      <w:suppressAutoHyphens/>
      <w:ind w:left="480"/>
    </w:pPr>
    <w:rPr>
      <w:rFonts w:ascii="Calibri" w:eastAsia="新細明體" w:hAnsi="Calibri"/>
      <w:szCs w:val="22"/>
    </w:rPr>
  </w:style>
  <w:style w:type="paragraph" w:styleId="31">
    <w:name w:val="toc 3"/>
    <w:basedOn w:val="a0"/>
    <w:next w:val="a0"/>
    <w:autoRedefine/>
    <w:pPr>
      <w:suppressAutoHyphens/>
      <w:ind w:left="960"/>
    </w:pPr>
    <w:rPr>
      <w:rFonts w:ascii="Calibri" w:eastAsia="新細明體" w:hAnsi="Calibri"/>
      <w:szCs w:val="22"/>
    </w:rPr>
  </w:style>
  <w:style w:type="paragraph" w:styleId="41">
    <w:name w:val="toc 4"/>
    <w:basedOn w:val="a0"/>
    <w:next w:val="a0"/>
    <w:autoRedefine/>
    <w:pPr>
      <w:suppressAutoHyphens/>
      <w:ind w:left="1440"/>
    </w:pPr>
    <w:rPr>
      <w:rFonts w:ascii="Calibri" w:eastAsia="新細明體" w:hAnsi="Calibri"/>
      <w:szCs w:val="22"/>
    </w:rPr>
  </w:style>
  <w:style w:type="paragraph" w:styleId="51">
    <w:name w:val="toc 5"/>
    <w:basedOn w:val="a0"/>
    <w:next w:val="a0"/>
    <w:autoRedefine/>
    <w:pPr>
      <w:suppressAutoHyphens/>
      <w:ind w:left="1920"/>
    </w:pPr>
    <w:rPr>
      <w:rFonts w:ascii="Calibri" w:eastAsia="新細明體" w:hAnsi="Calibri"/>
      <w:szCs w:val="22"/>
    </w:rPr>
  </w:style>
  <w:style w:type="paragraph" w:styleId="61">
    <w:name w:val="toc 6"/>
    <w:basedOn w:val="a0"/>
    <w:next w:val="a0"/>
    <w:autoRedefine/>
    <w:pPr>
      <w:suppressAutoHyphens/>
      <w:ind w:left="2400"/>
    </w:pPr>
    <w:rPr>
      <w:rFonts w:ascii="Calibri" w:eastAsia="新細明體" w:hAnsi="Calibri"/>
      <w:szCs w:val="22"/>
    </w:rPr>
  </w:style>
  <w:style w:type="paragraph" w:styleId="71">
    <w:name w:val="toc 7"/>
    <w:basedOn w:val="a0"/>
    <w:next w:val="a0"/>
    <w:autoRedefine/>
    <w:pPr>
      <w:suppressAutoHyphens/>
      <w:ind w:left="2880"/>
    </w:pPr>
    <w:rPr>
      <w:rFonts w:ascii="Calibri" w:eastAsia="新細明體" w:hAnsi="Calibri"/>
      <w:szCs w:val="22"/>
    </w:rPr>
  </w:style>
  <w:style w:type="paragraph" w:styleId="81">
    <w:name w:val="toc 8"/>
    <w:basedOn w:val="a0"/>
    <w:next w:val="a0"/>
    <w:autoRedefine/>
    <w:pPr>
      <w:suppressAutoHyphens/>
      <w:ind w:left="3360"/>
    </w:pPr>
    <w:rPr>
      <w:rFonts w:ascii="Calibri" w:eastAsia="新細明體" w:hAnsi="Calibri"/>
      <w:szCs w:val="22"/>
    </w:rPr>
  </w:style>
  <w:style w:type="paragraph" w:styleId="91">
    <w:name w:val="toc 9"/>
    <w:basedOn w:val="a0"/>
    <w:next w:val="a0"/>
    <w:autoRedefine/>
    <w:pPr>
      <w:suppressAutoHyphens/>
      <w:ind w:left="3840"/>
    </w:pPr>
    <w:rPr>
      <w:rFonts w:ascii="Calibri" w:eastAsia="新細明體" w:hAnsi="Calibri"/>
      <w:szCs w:val="22"/>
    </w:rPr>
  </w:style>
  <w:style w:type="paragraph" w:styleId="aff6">
    <w:name w:val="toa heading"/>
    <w:basedOn w:val="1"/>
    <w:next w:val="a0"/>
    <w:pPr>
      <w:keepLines/>
      <w:tabs>
        <w:tab w:val="clear" w:pos="0"/>
      </w:tabs>
      <w:spacing w:before="480" w:after="0" w:line="276" w:lineRule="auto"/>
    </w:pPr>
    <w:rPr>
      <w:rFonts w:ascii="Cambria" w:hAnsi="Cambria"/>
      <w:color w:val="365F91"/>
      <w:kern w:val="0"/>
      <w:sz w:val="28"/>
      <w:szCs w:val="28"/>
    </w:rPr>
  </w:style>
  <w:style w:type="paragraph" w:customStyle="1" w:styleId="13">
    <w:name w:val="目錄標題1"/>
    <w:basedOn w:val="1"/>
    <w:next w:val="a0"/>
    <w:pPr>
      <w:keepLines/>
      <w:tabs>
        <w:tab w:val="clear" w:pos="0"/>
      </w:tabs>
      <w:spacing w:before="480" w:after="0" w:line="276" w:lineRule="auto"/>
    </w:pPr>
    <w:rPr>
      <w:rFonts w:ascii="Cambria" w:hAnsi="Cambria"/>
      <w:color w:val="365F91"/>
      <w:kern w:val="0"/>
      <w:sz w:val="28"/>
      <w:szCs w:val="28"/>
    </w:rPr>
  </w:style>
  <w:style w:type="paragraph" w:customStyle="1" w:styleId="14">
    <w:name w:val="(1)文"/>
    <w:basedOn w:val="12"/>
    <w:rsid w:val="004A54B3"/>
    <w:pPr>
      <w:ind w:leftChars="850" w:left="850" w:firstLineChars="250" w:firstLine="250"/>
    </w:pPr>
    <w:rPr>
      <w:szCs w:val="24"/>
    </w:rPr>
  </w:style>
  <w:style w:type="paragraph" w:customStyle="1" w:styleId="Aff7">
    <w:name w:val="(A)"/>
    <w:basedOn w:val="12"/>
    <w:pPr>
      <w:ind w:left="1000" w:firstLine="0"/>
    </w:pPr>
    <w:rPr>
      <w:szCs w:val="24"/>
    </w:rPr>
  </w:style>
  <w:style w:type="paragraph" w:customStyle="1" w:styleId="aff8">
    <w:name w:val="框架內容"/>
    <w:basedOn w:val="a"/>
  </w:style>
  <w:style w:type="paragraph" w:customStyle="1" w:styleId="aff9">
    <w:name w:val="表格內容"/>
    <w:basedOn w:val="a"/>
    <w:pPr>
      <w:suppressLineNumbers/>
    </w:pPr>
  </w:style>
  <w:style w:type="paragraph" w:styleId="affa">
    <w:name w:val="List Paragraph"/>
    <w:basedOn w:val="a"/>
    <w:qFormat/>
    <w:pPr>
      <w:ind w:left="480"/>
    </w:pPr>
    <w:rPr>
      <w:rFonts w:ascii="Calibri" w:hAnsi="Calibri" w:cs="Calibri"/>
      <w:szCs w:val="24"/>
    </w:rPr>
  </w:style>
  <w:style w:type="paragraph" w:customStyle="1" w:styleId="15">
    <w:name w:val="清單段落1"/>
    <w:basedOn w:val="a"/>
    <w:pPr>
      <w:ind w:left="480"/>
    </w:pPr>
  </w:style>
  <w:style w:type="paragraph" w:customStyle="1" w:styleId="affb">
    <w:name w:val="表格標題"/>
    <w:basedOn w:val="aff9"/>
    <w:pPr>
      <w:jc w:val="center"/>
    </w:pPr>
    <w:rPr>
      <w:b/>
      <w:bCs/>
    </w:rPr>
  </w:style>
  <w:style w:type="numbering" w:customStyle="1" w:styleId="WW8Num16">
    <w:name w:val="WW8Num16"/>
    <w:basedOn w:val="a3"/>
    <w:rsid w:val="00241318"/>
    <w:pPr>
      <w:numPr>
        <w:numId w:val="15"/>
      </w:numPr>
    </w:pPr>
  </w:style>
  <w:style w:type="table" w:styleId="affc">
    <w:name w:val="Table Grid"/>
    <w:basedOn w:val="a2"/>
    <w:uiPriority w:val="59"/>
    <w:rsid w:val="000D4E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5235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footer" Target="footer9.xml"/><Relationship Id="rId39" Type="http://schemas.openxmlformats.org/officeDocument/2006/relationships/footer" Target="footer17.xml"/><Relationship Id="rId21" Type="http://schemas.openxmlformats.org/officeDocument/2006/relationships/footer" Target="footer7.xml"/><Relationship Id="rId34" Type="http://schemas.openxmlformats.org/officeDocument/2006/relationships/footer" Target="footer14.xml"/><Relationship Id="rId42" Type="http://schemas.openxmlformats.org/officeDocument/2006/relationships/footer" Target="footer19.xml"/><Relationship Id="rId47" Type="http://schemas.openxmlformats.org/officeDocument/2006/relationships/footer" Target="footer22.xml"/><Relationship Id="rId50" Type="http://schemas.openxmlformats.org/officeDocument/2006/relationships/header" Target="header18.xml"/><Relationship Id="rId55" Type="http://schemas.openxmlformats.org/officeDocument/2006/relationships/hyperlink" Target="https://www.mzv.sk/web/taipei-en/services" TargetMode="External"/><Relationship Id="rId63" Type="http://schemas.openxmlformats.org/officeDocument/2006/relationships/footer" Target="footer31.xml"/><Relationship Id="rId68" Type="http://schemas.openxmlformats.org/officeDocument/2006/relationships/footer" Target="footer33.xml"/><Relationship Id="rId76" Type="http://schemas.openxmlformats.org/officeDocument/2006/relationships/footer" Target="footer37.xml"/><Relationship Id="rId7" Type="http://schemas.openxmlformats.org/officeDocument/2006/relationships/footnotes" Target="footnotes.xml"/><Relationship Id="rId71" Type="http://schemas.openxmlformats.org/officeDocument/2006/relationships/footer" Target="footer35.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footer" Target="footer2.xml"/><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6.xml"/><Relationship Id="rId40" Type="http://schemas.openxmlformats.org/officeDocument/2006/relationships/header" Target="header14.xml"/><Relationship Id="rId45" Type="http://schemas.openxmlformats.org/officeDocument/2006/relationships/header" Target="header16.xml"/><Relationship Id="rId53" Type="http://schemas.openxmlformats.org/officeDocument/2006/relationships/header" Target="header19.xml"/><Relationship Id="rId58" Type="http://schemas.openxmlformats.org/officeDocument/2006/relationships/footer" Target="footer28.xml"/><Relationship Id="rId66" Type="http://schemas.openxmlformats.org/officeDocument/2006/relationships/hyperlink" Target="mailto:slovakia@sa.moea.gov.tw" TargetMode="External"/><Relationship Id="rId74" Type="http://schemas.openxmlformats.org/officeDocument/2006/relationships/header" Target="header27.xm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eader" Target="header22.xml"/><Relationship Id="rId10" Type="http://schemas.openxmlformats.org/officeDocument/2006/relationships/footer" Target="footer1.xml"/><Relationship Id="rId19" Type="http://schemas.openxmlformats.org/officeDocument/2006/relationships/header" Target="header5.xml"/><Relationship Id="rId31" Type="http://schemas.openxmlformats.org/officeDocument/2006/relationships/footer" Target="footer12.xml"/><Relationship Id="rId44" Type="http://schemas.openxmlformats.org/officeDocument/2006/relationships/footer" Target="footer20.xml"/><Relationship Id="rId52" Type="http://schemas.openxmlformats.org/officeDocument/2006/relationships/footer" Target="footer25.xml"/><Relationship Id="rId60" Type="http://schemas.openxmlformats.org/officeDocument/2006/relationships/footer" Target="footer29.xml"/><Relationship Id="rId65" Type="http://schemas.openxmlformats.org/officeDocument/2006/relationships/footer" Target="footer32.xml"/><Relationship Id="rId73" Type="http://schemas.openxmlformats.org/officeDocument/2006/relationships/header" Target="header26.xml"/><Relationship Id="rId78" Type="http://schemas.openxmlformats.org/officeDocument/2006/relationships/footer" Target="footer38.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footer" Target="footer10.xml"/><Relationship Id="rId30" Type="http://schemas.openxmlformats.org/officeDocument/2006/relationships/header" Target="header10.xml"/><Relationship Id="rId35" Type="http://schemas.openxmlformats.org/officeDocument/2006/relationships/header" Target="header12.xml"/><Relationship Id="rId43" Type="http://schemas.openxmlformats.org/officeDocument/2006/relationships/header" Target="header15.xml"/><Relationship Id="rId48" Type="http://schemas.openxmlformats.org/officeDocument/2006/relationships/header" Target="header17.xml"/><Relationship Id="rId56" Type="http://schemas.openxmlformats.org/officeDocument/2006/relationships/header" Target="header20.xml"/><Relationship Id="rId64" Type="http://schemas.openxmlformats.org/officeDocument/2006/relationships/header" Target="header23.xml"/><Relationship Id="rId69" Type="http://schemas.openxmlformats.org/officeDocument/2006/relationships/footer" Target="footer34.xml"/><Relationship Id="rId77" Type="http://schemas.openxmlformats.org/officeDocument/2006/relationships/header" Target="header28.xml"/><Relationship Id="rId8" Type="http://schemas.openxmlformats.org/officeDocument/2006/relationships/endnotes" Target="endnotes.xml"/><Relationship Id="rId51" Type="http://schemas.openxmlformats.org/officeDocument/2006/relationships/footer" Target="footer24.xml"/><Relationship Id="rId72" Type="http://schemas.openxmlformats.org/officeDocument/2006/relationships/image" Target="media/image2.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5.xml"/><Relationship Id="rId25" Type="http://schemas.openxmlformats.org/officeDocument/2006/relationships/header" Target="header8.xml"/><Relationship Id="rId33" Type="http://schemas.openxmlformats.org/officeDocument/2006/relationships/header" Target="header11.xml"/><Relationship Id="rId38" Type="http://schemas.openxmlformats.org/officeDocument/2006/relationships/header" Target="header13.xml"/><Relationship Id="rId46" Type="http://schemas.openxmlformats.org/officeDocument/2006/relationships/footer" Target="footer21.xml"/><Relationship Id="rId59" Type="http://schemas.openxmlformats.org/officeDocument/2006/relationships/header" Target="header21.xml"/><Relationship Id="rId67" Type="http://schemas.openxmlformats.org/officeDocument/2006/relationships/header" Target="header24.xml"/><Relationship Id="rId20" Type="http://schemas.openxmlformats.org/officeDocument/2006/relationships/footer" Target="footer6.xml"/><Relationship Id="rId41" Type="http://schemas.openxmlformats.org/officeDocument/2006/relationships/footer" Target="footer18.xml"/><Relationship Id="rId54" Type="http://schemas.openxmlformats.org/officeDocument/2006/relationships/footer" Target="footer26.xml"/><Relationship Id="rId62" Type="http://schemas.openxmlformats.org/officeDocument/2006/relationships/footer" Target="footer30.xml"/><Relationship Id="rId70" Type="http://schemas.openxmlformats.org/officeDocument/2006/relationships/header" Target="header25.xml"/><Relationship Id="rId75" Type="http://schemas.openxmlformats.org/officeDocument/2006/relationships/footer" Target="footer36.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footer" Target="footer8.xml"/><Relationship Id="rId28" Type="http://schemas.openxmlformats.org/officeDocument/2006/relationships/header" Target="header9.xml"/><Relationship Id="rId36" Type="http://schemas.openxmlformats.org/officeDocument/2006/relationships/footer" Target="footer15.xml"/><Relationship Id="rId49" Type="http://schemas.openxmlformats.org/officeDocument/2006/relationships/footer" Target="footer23.xml"/><Relationship Id="rId57" Type="http://schemas.openxmlformats.org/officeDocument/2006/relationships/footer" Target="footer27.xml"/></Relationships>
</file>

<file path=word/_rels/footnotes.xml.rels><?xml version="1.0" encoding="UTF-8" standalone="yes"?>
<Relationships xmlns="http://schemas.openxmlformats.org/package/2006/relationships"><Relationship Id="rId1" Type="http://schemas.openxmlformats.org/officeDocument/2006/relationships/hyperlink" Target="https://taxsummaries.pwc.com/slovak-republic/individual/taxes-on-personal-income"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2EA0C5-4EAC-4101-8488-10986D847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84</Pages>
  <Words>6490</Words>
  <Characters>36998</Characters>
  <Application>Microsoft Office Word</Application>
  <DocSecurity>0</DocSecurity>
  <Lines>308</Lines>
  <Paragraphs>86</Paragraphs>
  <ScaleCrop>false</ScaleCrop>
  <Company>Ministry of Economic Affairs,R.O.C.</Company>
  <LinksUpToDate>false</LinksUpToDate>
  <CharactersWithSpaces>43402</CharactersWithSpaces>
  <SharedDoc>false</SharedDoc>
  <HLinks>
    <vt:vector size="174" baseType="variant">
      <vt:variant>
        <vt:i4>1245255</vt:i4>
      </vt:variant>
      <vt:variant>
        <vt:i4>87</vt:i4>
      </vt:variant>
      <vt:variant>
        <vt:i4>0</vt:i4>
      </vt:variant>
      <vt:variant>
        <vt:i4>5</vt:i4>
      </vt:variant>
      <vt:variant>
        <vt:lpwstr>http://www.deutscheschule.sk/</vt:lpwstr>
      </vt:variant>
      <vt:variant>
        <vt:lpwstr/>
      </vt:variant>
      <vt:variant>
        <vt:i4>983108</vt:i4>
      </vt:variant>
      <vt:variant>
        <vt:i4>84</vt:i4>
      </vt:variant>
      <vt:variant>
        <vt:i4>0</vt:i4>
      </vt:variant>
      <vt:variant>
        <vt:i4>5</vt:i4>
      </vt:variant>
      <vt:variant>
        <vt:lpwstr>http://www.ecolefrancaise.sk/</vt:lpwstr>
      </vt:variant>
      <vt:variant>
        <vt:lpwstr/>
      </vt:variant>
      <vt:variant>
        <vt:i4>3866751</vt:i4>
      </vt:variant>
      <vt:variant>
        <vt:i4>81</vt:i4>
      </vt:variant>
      <vt:variant>
        <vt:i4>0</vt:i4>
      </vt:variant>
      <vt:variant>
        <vt:i4>5</vt:i4>
      </vt:variant>
      <vt:variant>
        <vt:lpwstr>http://www.qsi.org/</vt:lpwstr>
      </vt:variant>
      <vt:variant>
        <vt:lpwstr/>
      </vt:variant>
      <vt:variant>
        <vt:i4>6684796</vt:i4>
      </vt:variant>
      <vt:variant>
        <vt:i4>78</vt:i4>
      </vt:variant>
      <vt:variant>
        <vt:i4>0</vt:i4>
      </vt:variant>
      <vt:variant>
        <vt:i4>5</vt:i4>
      </vt:variant>
      <vt:variant>
        <vt:lpwstr>http://www.bis.sk/</vt:lpwstr>
      </vt:variant>
      <vt:variant>
        <vt:lpwstr/>
      </vt:variant>
      <vt:variant>
        <vt:i4>1179698</vt:i4>
      </vt:variant>
      <vt:variant>
        <vt:i4>71</vt:i4>
      </vt:variant>
      <vt:variant>
        <vt:i4>0</vt:i4>
      </vt:variant>
      <vt:variant>
        <vt:i4>5</vt:i4>
      </vt:variant>
      <vt:variant>
        <vt:lpwstr/>
      </vt:variant>
      <vt:variant>
        <vt:lpwstr>_Toc19484733</vt:lpwstr>
      </vt:variant>
      <vt:variant>
        <vt:i4>1245234</vt:i4>
      </vt:variant>
      <vt:variant>
        <vt:i4>68</vt:i4>
      </vt:variant>
      <vt:variant>
        <vt:i4>0</vt:i4>
      </vt:variant>
      <vt:variant>
        <vt:i4>5</vt:i4>
      </vt:variant>
      <vt:variant>
        <vt:lpwstr/>
      </vt:variant>
      <vt:variant>
        <vt:lpwstr>_Toc19484732</vt:lpwstr>
      </vt:variant>
      <vt:variant>
        <vt:i4>1245234</vt:i4>
      </vt:variant>
      <vt:variant>
        <vt:i4>65</vt:i4>
      </vt:variant>
      <vt:variant>
        <vt:i4>0</vt:i4>
      </vt:variant>
      <vt:variant>
        <vt:i4>5</vt:i4>
      </vt:variant>
      <vt:variant>
        <vt:lpwstr/>
      </vt:variant>
      <vt:variant>
        <vt:lpwstr>_Toc19484732</vt:lpwstr>
      </vt:variant>
      <vt:variant>
        <vt:i4>1048626</vt:i4>
      </vt:variant>
      <vt:variant>
        <vt:i4>62</vt:i4>
      </vt:variant>
      <vt:variant>
        <vt:i4>0</vt:i4>
      </vt:variant>
      <vt:variant>
        <vt:i4>5</vt:i4>
      </vt:variant>
      <vt:variant>
        <vt:lpwstr/>
      </vt:variant>
      <vt:variant>
        <vt:lpwstr>_Toc19484731</vt:lpwstr>
      </vt:variant>
      <vt:variant>
        <vt:i4>1048626</vt:i4>
      </vt:variant>
      <vt:variant>
        <vt:i4>59</vt:i4>
      </vt:variant>
      <vt:variant>
        <vt:i4>0</vt:i4>
      </vt:variant>
      <vt:variant>
        <vt:i4>5</vt:i4>
      </vt:variant>
      <vt:variant>
        <vt:lpwstr/>
      </vt:variant>
      <vt:variant>
        <vt:lpwstr>_Toc19484731</vt:lpwstr>
      </vt:variant>
      <vt:variant>
        <vt:i4>1114162</vt:i4>
      </vt:variant>
      <vt:variant>
        <vt:i4>56</vt:i4>
      </vt:variant>
      <vt:variant>
        <vt:i4>0</vt:i4>
      </vt:variant>
      <vt:variant>
        <vt:i4>5</vt:i4>
      </vt:variant>
      <vt:variant>
        <vt:lpwstr/>
      </vt:variant>
      <vt:variant>
        <vt:lpwstr>_Toc19484730</vt:lpwstr>
      </vt:variant>
      <vt:variant>
        <vt:i4>1114162</vt:i4>
      </vt:variant>
      <vt:variant>
        <vt:i4>53</vt:i4>
      </vt:variant>
      <vt:variant>
        <vt:i4>0</vt:i4>
      </vt:variant>
      <vt:variant>
        <vt:i4>5</vt:i4>
      </vt:variant>
      <vt:variant>
        <vt:lpwstr/>
      </vt:variant>
      <vt:variant>
        <vt:lpwstr>_Toc19484730</vt:lpwstr>
      </vt:variant>
      <vt:variant>
        <vt:i4>1572915</vt:i4>
      </vt:variant>
      <vt:variant>
        <vt:i4>50</vt:i4>
      </vt:variant>
      <vt:variant>
        <vt:i4>0</vt:i4>
      </vt:variant>
      <vt:variant>
        <vt:i4>5</vt:i4>
      </vt:variant>
      <vt:variant>
        <vt:lpwstr/>
      </vt:variant>
      <vt:variant>
        <vt:lpwstr>_Toc19484729</vt:lpwstr>
      </vt:variant>
      <vt:variant>
        <vt:i4>1572915</vt:i4>
      </vt:variant>
      <vt:variant>
        <vt:i4>47</vt:i4>
      </vt:variant>
      <vt:variant>
        <vt:i4>0</vt:i4>
      </vt:variant>
      <vt:variant>
        <vt:i4>5</vt:i4>
      </vt:variant>
      <vt:variant>
        <vt:lpwstr/>
      </vt:variant>
      <vt:variant>
        <vt:lpwstr>_Toc19484729</vt:lpwstr>
      </vt:variant>
      <vt:variant>
        <vt:i4>1638451</vt:i4>
      </vt:variant>
      <vt:variant>
        <vt:i4>44</vt:i4>
      </vt:variant>
      <vt:variant>
        <vt:i4>0</vt:i4>
      </vt:variant>
      <vt:variant>
        <vt:i4>5</vt:i4>
      </vt:variant>
      <vt:variant>
        <vt:lpwstr/>
      </vt:variant>
      <vt:variant>
        <vt:lpwstr>_Toc19484728</vt:lpwstr>
      </vt:variant>
      <vt:variant>
        <vt:i4>1638451</vt:i4>
      </vt:variant>
      <vt:variant>
        <vt:i4>41</vt:i4>
      </vt:variant>
      <vt:variant>
        <vt:i4>0</vt:i4>
      </vt:variant>
      <vt:variant>
        <vt:i4>5</vt:i4>
      </vt:variant>
      <vt:variant>
        <vt:lpwstr/>
      </vt:variant>
      <vt:variant>
        <vt:lpwstr>_Toc19484728</vt:lpwstr>
      </vt:variant>
      <vt:variant>
        <vt:i4>1441843</vt:i4>
      </vt:variant>
      <vt:variant>
        <vt:i4>38</vt:i4>
      </vt:variant>
      <vt:variant>
        <vt:i4>0</vt:i4>
      </vt:variant>
      <vt:variant>
        <vt:i4>5</vt:i4>
      </vt:variant>
      <vt:variant>
        <vt:lpwstr/>
      </vt:variant>
      <vt:variant>
        <vt:lpwstr>_Toc19484727</vt:lpwstr>
      </vt:variant>
      <vt:variant>
        <vt:i4>1441843</vt:i4>
      </vt:variant>
      <vt:variant>
        <vt:i4>35</vt:i4>
      </vt:variant>
      <vt:variant>
        <vt:i4>0</vt:i4>
      </vt:variant>
      <vt:variant>
        <vt:i4>5</vt:i4>
      </vt:variant>
      <vt:variant>
        <vt:lpwstr/>
      </vt:variant>
      <vt:variant>
        <vt:lpwstr>_Toc19484727</vt:lpwstr>
      </vt:variant>
      <vt:variant>
        <vt:i4>1507379</vt:i4>
      </vt:variant>
      <vt:variant>
        <vt:i4>32</vt:i4>
      </vt:variant>
      <vt:variant>
        <vt:i4>0</vt:i4>
      </vt:variant>
      <vt:variant>
        <vt:i4>5</vt:i4>
      </vt:variant>
      <vt:variant>
        <vt:lpwstr/>
      </vt:variant>
      <vt:variant>
        <vt:lpwstr>_Toc19484726</vt:lpwstr>
      </vt:variant>
      <vt:variant>
        <vt:i4>1507379</vt:i4>
      </vt:variant>
      <vt:variant>
        <vt:i4>29</vt:i4>
      </vt:variant>
      <vt:variant>
        <vt:i4>0</vt:i4>
      </vt:variant>
      <vt:variant>
        <vt:i4>5</vt:i4>
      </vt:variant>
      <vt:variant>
        <vt:lpwstr/>
      </vt:variant>
      <vt:variant>
        <vt:lpwstr>_Toc19484726</vt:lpwstr>
      </vt:variant>
      <vt:variant>
        <vt:i4>1310771</vt:i4>
      </vt:variant>
      <vt:variant>
        <vt:i4>26</vt:i4>
      </vt:variant>
      <vt:variant>
        <vt:i4>0</vt:i4>
      </vt:variant>
      <vt:variant>
        <vt:i4>5</vt:i4>
      </vt:variant>
      <vt:variant>
        <vt:lpwstr/>
      </vt:variant>
      <vt:variant>
        <vt:lpwstr>_Toc19484725</vt:lpwstr>
      </vt:variant>
      <vt:variant>
        <vt:i4>1310771</vt:i4>
      </vt:variant>
      <vt:variant>
        <vt:i4>23</vt:i4>
      </vt:variant>
      <vt:variant>
        <vt:i4>0</vt:i4>
      </vt:variant>
      <vt:variant>
        <vt:i4>5</vt:i4>
      </vt:variant>
      <vt:variant>
        <vt:lpwstr/>
      </vt:variant>
      <vt:variant>
        <vt:lpwstr>_Toc19484725</vt:lpwstr>
      </vt:variant>
      <vt:variant>
        <vt:i4>1376307</vt:i4>
      </vt:variant>
      <vt:variant>
        <vt:i4>20</vt:i4>
      </vt:variant>
      <vt:variant>
        <vt:i4>0</vt:i4>
      </vt:variant>
      <vt:variant>
        <vt:i4>5</vt:i4>
      </vt:variant>
      <vt:variant>
        <vt:lpwstr/>
      </vt:variant>
      <vt:variant>
        <vt:lpwstr>_Toc19484724</vt:lpwstr>
      </vt:variant>
      <vt:variant>
        <vt:i4>1376307</vt:i4>
      </vt:variant>
      <vt:variant>
        <vt:i4>17</vt:i4>
      </vt:variant>
      <vt:variant>
        <vt:i4>0</vt:i4>
      </vt:variant>
      <vt:variant>
        <vt:i4>5</vt:i4>
      </vt:variant>
      <vt:variant>
        <vt:lpwstr/>
      </vt:variant>
      <vt:variant>
        <vt:lpwstr>_Toc19484724</vt:lpwstr>
      </vt:variant>
      <vt:variant>
        <vt:i4>1179699</vt:i4>
      </vt:variant>
      <vt:variant>
        <vt:i4>14</vt:i4>
      </vt:variant>
      <vt:variant>
        <vt:i4>0</vt:i4>
      </vt:variant>
      <vt:variant>
        <vt:i4>5</vt:i4>
      </vt:variant>
      <vt:variant>
        <vt:lpwstr/>
      </vt:variant>
      <vt:variant>
        <vt:lpwstr>_Toc19484723</vt:lpwstr>
      </vt:variant>
      <vt:variant>
        <vt:i4>1179699</vt:i4>
      </vt:variant>
      <vt:variant>
        <vt:i4>11</vt:i4>
      </vt:variant>
      <vt:variant>
        <vt:i4>0</vt:i4>
      </vt:variant>
      <vt:variant>
        <vt:i4>5</vt:i4>
      </vt:variant>
      <vt:variant>
        <vt:lpwstr/>
      </vt:variant>
      <vt:variant>
        <vt:lpwstr>_Toc19484723</vt:lpwstr>
      </vt:variant>
      <vt:variant>
        <vt:i4>1245235</vt:i4>
      </vt:variant>
      <vt:variant>
        <vt:i4>8</vt:i4>
      </vt:variant>
      <vt:variant>
        <vt:i4>0</vt:i4>
      </vt:variant>
      <vt:variant>
        <vt:i4>5</vt:i4>
      </vt:variant>
      <vt:variant>
        <vt:lpwstr/>
      </vt:variant>
      <vt:variant>
        <vt:lpwstr>_Toc19484722</vt:lpwstr>
      </vt:variant>
      <vt:variant>
        <vt:i4>1245235</vt:i4>
      </vt:variant>
      <vt:variant>
        <vt:i4>5</vt:i4>
      </vt:variant>
      <vt:variant>
        <vt:i4>0</vt:i4>
      </vt:variant>
      <vt:variant>
        <vt:i4>5</vt:i4>
      </vt:variant>
      <vt:variant>
        <vt:lpwstr/>
      </vt:variant>
      <vt:variant>
        <vt:lpwstr>_Toc19484722</vt:lpwstr>
      </vt:variant>
      <vt:variant>
        <vt:i4>1048627</vt:i4>
      </vt:variant>
      <vt:variant>
        <vt:i4>2</vt:i4>
      </vt:variant>
      <vt:variant>
        <vt:i4>0</vt:i4>
      </vt:variant>
      <vt:variant>
        <vt:i4>5</vt:i4>
      </vt:variant>
      <vt:variant>
        <vt:lpwstr/>
      </vt:variant>
      <vt:variant>
        <vt:lpwstr>_Toc19484721</vt:lpwstr>
      </vt:variant>
      <vt:variant>
        <vt:i4>1572917</vt:i4>
      </vt:variant>
      <vt:variant>
        <vt:i4>0</vt:i4>
      </vt:variant>
      <vt:variant>
        <vt:i4>0</vt:i4>
      </vt:variant>
      <vt:variant>
        <vt:i4>5</vt:i4>
      </vt:variant>
      <vt:variant>
        <vt:lpwstr>http://www.sario.sk/sites/default/files/content/files/automotive_industry.pdf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9</cp:revision>
  <cp:lastPrinted>2023-09-25T03:09:00Z</cp:lastPrinted>
  <dcterms:created xsi:type="dcterms:W3CDTF">2023-09-21T07:44:00Z</dcterms:created>
  <dcterms:modified xsi:type="dcterms:W3CDTF">2023-09-25T03:10:00Z</dcterms:modified>
</cp:coreProperties>
</file>