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82594" w14:textId="03A05BB6" w:rsidR="00605056" w:rsidRPr="00605056" w:rsidRDefault="00685A10" w:rsidP="00685A10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605056">
        <w:rPr>
          <w:rFonts w:ascii="微軟正黑體" w:eastAsia="微軟正黑體" w:hAnsi="微軟正黑體" w:hint="eastAsia"/>
          <w:b/>
          <w:sz w:val="40"/>
          <w:szCs w:val="32"/>
        </w:rPr>
        <w:t>「</w:t>
      </w:r>
      <w:r w:rsidR="00605056" w:rsidRPr="00605056">
        <w:rPr>
          <w:rFonts w:ascii="微軟正黑體" w:eastAsia="微軟正黑體" w:hAnsi="微軟正黑體" w:hint="eastAsia"/>
          <w:b/>
          <w:sz w:val="40"/>
          <w:szCs w:val="32"/>
        </w:rPr>
        <w:t>根留</w:t>
      </w:r>
      <w:r w:rsidR="0057382B">
        <w:rPr>
          <w:rFonts w:ascii="微軟正黑體" w:eastAsia="微軟正黑體" w:hAnsi="微軟正黑體" w:hint="eastAsia"/>
          <w:b/>
          <w:sz w:val="40"/>
          <w:szCs w:val="32"/>
        </w:rPr>
        <w:t>臺</w:t>
      </w:r>
      <w:r w:rsidR="00605056" w:rsidRPr="00605056">
        <w:rPr>
          <w:rFonts w:ascii="微軟正黑體" w:eastAsia="微軟正黑體" w:hAnsi="微軟正黑體" w:hint="eastAsia"/>
          <w:b/>
          <w:sz w:val="40"/>
          <w:szCs w:val="32"/>
        </w:rPr>
        <w:t>灣加速投資行動方案</w:t>
      </w:r>
      <w:r w:rsidRPr="00605056">
        <w:rPr>
          <w:rFonts w:ascii="微軟正黑體" w:eastAsia="微軟正黑體" w:hAnsi="微軟正黑體" w:hint="eastAsia"/>
          <w:b/>
          <w:sz w:val="40"/>
          <w:szCs w:val="32"/>
        </w:rPr>
        <w:t>」</w:t>
      </w:r>
    </w:p>
    <w:p w14:paraId="1A065458" w14:textId="77777777" w:rsidR="0006051F" w:rsidRPr="00605056" w:rsidRDefault="00685A10" w:rsidP="00685A10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605056">
        <w:rPr>
          <w:rFonts w:ascii="微軟正黑體" w:eastAsia="微軟正黑體" w:hAnsi="微軟正黑體" w:hint="eastAsia"/>
          <w:b/>
          <w:sz w:val="40"/>
          <w:szCs w:val="32"/>
        </w:rPr>
        <w:t>Q&amp;A</w:t>
      </w:r>
    </w:p>
    <w:sdt>
      <w:sdtPr>
        <w:rPr>
          <w:rFonts w:ascii="微軟正黑體" w:eastAsia="微軟正黑體" w:hAnsi="微軟正黑體" w:cstheme="minorBidi"/>
          <w:b w:val="0"/>
          <w:bCs w:val="0"/>
          <w:color w:val="auto"/>
          <w:kern w:val="2"/>
          <w:sz w:val="24"/>
          <w:szCs w:val="22"/>
          <w:lang w:val="zh-TW"/>
        </w:rPr>
        <w:id w:val="1225485890"/>
        <w:docPartObj>
          <w:docPartGallery w:val="Table of Contents"/>
          <w:docPartUnique/>
        </w:docPartObj>
      </w:sdtPr>
      <w:sdtEndPr/>
      <w:sdtContent>
        <w:p w14:paraId="7FDE6292" w14:textId="68758DCD" w:rsidR="00BE48F5" w:rsidRPr="00D7680F" w:rsidRDefault="00D7680F" w:rsidP="00D7680F">
          <w:pPr>
            <w:pStyle w:val="aa"/>
            <w:jc w:val="center"/>
            <w:rPr>
              <w:rFonts w:ascii="微軟正黑體" w:eastAsia="微軟正黑體" w:hAnsi="微軟正黑體"/>
              <w:sz w:val="32"/>
              <w:szCs w:val="32"/>
            </w:rPr>
          </w:pPr>
          <w:r w:rsidRPr="00D7680F">
            <w:rPr>
              <w:rFonts w:ascii="微軟正黑體" w:eastAsia="微軟正黑體" w:hAnsi="微軟正黑體" w:hint="eastAsia"/>
              <w:sz w:val="32"/>
              <w:szCs w:val="32"/>
              <w:lang w:val="zh-TW"/>
            </w:rPr>
            <w:t>目錄</w:t>
          </w:r>
        </w:p>
        <w:p w14:paraId="11787A7F" w14:textId="5E747A38" w:rsidR="00B0321D" w:rsidRPr="00B0321D" w:rsidRDefault="00BE48F5" w:rsidP="00B0321D">
          <w:pPr>
            <w:pStyle w:val="11"/>
            <w:tabs>
              <w:tab w:val="right" w:leader="dot" w:pos="8494"/>
            </w:tabs>
            <w:rPr>
              <w:noProof/>
              <w:sz w:val="28"/>
            </w:rPr>
          </w:pPr>
          <w:r w:rsidRPr="00605056">
            <w:rPr>
              <w:rFonts w:ascii="微軟正黑體" w:eastAsia="微軟正黑體" w:hAnsi="微軟正黑體"/>
              <w:sz w:val="28"/>
              <w:szCs w:val="28"/>
            </w:rPr>
            <w:fldChar w:fldCharType="begin"/>
          </w:r>
          <w:r w:rsidRPr="00605056">
            <w:rPr>
              <w:rFonts w:ascii="微軟正黑體" w:eastAsia="微軟正黑體" w:hAnsi="微軟正黑體"/>
              <w:sz w:val="28"/>
              <w:szCs w:val="28"/>
            </w:rPr>
            <w:instrText xml:space="preserve"> TOC \o "1-3" \h \z \u </w:instrText>
          </w:r>
          <w:r w:rsidRPr="00605056">
            <w:rPr>
              <w:rFonts w:ascii="微軟正黑體" w:eastAsia="微軟正黑體" w:hAnsi="微軟正黑體"/>
              <w:sz w:val="28"/>
              <w:szCs w:val="28"/>
            </w:rPr>
            <w:fldChar w:fldCharType="separate"/>
          </w:r>
          <w:hyperlink w:anchor="_Toc13158524" w:history="1"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ㄧ、共同資格類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_Toc13158524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2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56000C90" w14:textId="41B8C1D6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25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Q1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：何謂非屬中小企業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_Toc13158525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2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5AEED384" w14:textId="1BB1281C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26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Q2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</w:t>
            </w:r>
            <w:r w:rsidR="003B732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何謂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未</w:t>
            </w:r>
            <w:r w:rsidR="003B732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取得「歡迎臺商回臺投資行動方案」資格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_Toc13158526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2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17355BAD" w14:textId="1A3F73D2" w:rsidR="00B0321D" w:rsidRPr="00B0321D" w:rsidRDefault="002356A3" w:rsidP="00B0321D">
          <w:pPr>
            <w:pStyle w:val="11"/>
            <w:tabs>
              <w:tab w:val="right" w:leader="dot" w:pos="8494"/>
            </w:tabs>
            <w:rPr>
              <w:noProof/>
              <w:sz w:val="28"/>
            </w:rPr>
          </w:pPr>
          <w:hyperlink w:anchor="_Toc13158527" w:history="1"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二、特定資格類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-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製造業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_Toc13158527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3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750AC4D3" w14:textId="18442D75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28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Q1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：何謂回</w:t>
            </w:r>
            <w:r w:rsidR="0057382B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臺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投資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/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擴廠部分產線須具備智慧技術元素或智慧化功能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 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工業局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_Toc13158528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3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392DCFB5" w14:textId="5D20267A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29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Q2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：屬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5+2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產業創新領域為何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工業局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_Toc13158529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3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2D8632BD" w14:textId="4D09F4E8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30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Q3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：屬高附加價值產品及關鍵零組件相關產業類別為何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工業局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_Toc13158530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4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10554A4A" w14:textId="0949B7A5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31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</w:t>
            </w:r>
            <w:r w:rsidR="00722FB4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4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：何謂國際供應鏈居於關鍵地位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工業局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_Toc13158531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6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330FB341" w14:textId="4626FF4F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32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</w:t>
            </w:r>
            <w:r w:rsidR="00722FB4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5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：符合自有品牌國際行銷之情況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?(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工業局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_Toc13158532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6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7C5C8B31" w14:textId="419A5422" w:rsidR="00B0321D" w:rsidRPr="00B0321D" w:rsidRDefault="002356A3" w:rsidP="00B0321D">
          <w:pPr>
            <w:pStyle w:val="11"/>
            <w:tabs>
              <w:tab w:val="right" w:leader="dot" w:pos="8494"/>
            </w:tabs>
            <w:rPr>
              <w:noProof/>
              <w:sz w:val="28"/>
            </w:rPr>
          </w:pPr>
          <w:hyperlink w:anchor="_Toc13158533" w:history="1"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三、特定資格類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-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服務業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_Toc13158533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7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0554DB0E" w14:textId="36B27E9F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34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Q1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：哪些服務業可以來申請本方案？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商業司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_Toc13158534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7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23644C21" w14:textId="258EBE44" w:rsidR="00B0321D" w:rsidRPr="00B0321D" w:rsidRDefault="002356A3" w:rsidP="00B0321D">
          <w:pPr>
            <w:pStyle w:val="21"/>
            <w:tabs>
              <w:tab w:val="right" w:leader="dot" w:pos="8494"/>
            </w:tabs>
            <w:rPr>
              <w:noProof/>
              <w:sz w:val="28"/>
            </w:rPr>
          </w:pPr>
          <w:hyperlink w:anchor="_Toc13158535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Q2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：何謂服務能量具備智慧技術元素或智慧化功能？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商業司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_Toc13158535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7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59C94FA0" w14:textId="79F773FC" w:rsidR="00B0321D" w:rsidRDefault="002356A3" w:rsidP="00B0321D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13158536" w:history="1"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Q3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：</w:t>
            </w:r>
            <w:r w:rsidR="00253565" w:rsidRPr="00253565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哪些投資項目可能適用本方案之智慧技術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？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(</w:t>
            </w:r>
            <w:r w:rsidR="00B0321D" w:rsidRPr="00B0321D">
              <w:rPr>
                <w:rStyle w:val="ab"/>
                <w:rFonts w:ascii="微軟正黑體" w:eastAsia="微軟正黑體" w:hAnsi="微軟正黑體" w:hint="eastAsia"/>
                <w:noProof/>
                <w:sz w:val="28"/>
              </w:rPr>
              <w:t>商業司</w:t>
            </w:r>
            <w:r w:rsidR="00B0321D" w:rsidRPr="00B0321D">
              <w:rPr>
                <w:rStyle w:val="ab"/>
                <w:rFonts w:ascii="微軟正黑體" w:eastAsia="微軟正黑體" w:hAnsi="微軟正黑體"/>
                <w:noProof/>
                <w:sz w:val="28"/>
              </w:rPr>
              <w:t>)</w:t>
            </w:r>
            <w:r w:rsidR="00B0321D" w:rsidRPr="00B0321D">
              <w:rPr>
                <w:noProof/>
                <w:webHidden/>
                <w:sz w:val="28"/>
              </w:rPr>
              <w:tab/>
            </w:r>
            <w:r w:rsidR="00B0321D" w:rsidRPr="00B0321D">
              <w:rPr>
                <w:noProof/>
                <w:webHidden/>
                <w:sz w:val="28"/>
              </w:rPr>
              <w:fldChar w:fldCharType="begin"/>
            </w:r>
            <w:r w:rsidR="00B0321D" w:rsidRPr="00B0321D">
              <w:rPr>
                <w:noProof/>
                <w:webHidden/>
                <w:sz w:val="28"/>
              </w:rPr>
              <w:instrText xml:space="preserve"> PAGEREF _Toc13158536 \h </w:instrText>
            </w:r>
            <w:r w:rsidR="00B0321D" w:rsidRPr="00B0321D">
              <w:rPr>
                <w:noProof/>
                <w:webHidden/>
                <w:sz w:val="28"/>
              </w:rPr>
            </w:r>
            <w:r w:rsidR="00B0321D" w:rsidRPr="00B0321D">
              <w:rPr>
                <w:noProof/>
                <w:webHidden/>
                <w:sz w:val="28"/>
              </w:rPr>
              <w:fldChar w:fldCharType="separate"/>
            </w:r>
            <w:r w:rsidR="00E5329C">
              <w:rPr>
                <w:noProof/>
                <w:webHidden/>
                <w:sz w:val="28"/>
              </w:rPr>
              <w:t>7</w:t>
            </w:r>
            <w:r w:rsidR="00B0321D" w:rsidRPr="00B0321D">
              <w:rPr>
                <w:noProof/>
                <w:webHidden/>
                <w:sz w:val="28"/>
              </w:rPr>
              <w:fldChar w:fldCharType="end"/>
            </w:r>
          </w:hyperlink>
        </w:p>
        <w:p w14:paraId="1B008B76" w14:textId="77777777" w:rsidR="00685A10" w:rsidRPr="00A4285F" w:rsidRDefault="00BE48F5" w:rsidP="00685A10">
          <w:pPr>
            <w:rPr>
              <w:rFonts w:ascii="微軟正黑體" w:eastAsia="微軟正黑體" w:hAnsi="微軟正黑體"/>
            </w:rPr>
          </w:pPr>
          <w:r w:rsidRPr="00605056">
            <w:rPr>
              <w:rFonts w:ascii="微軟正黑體" w:eastAsia="微軟正黑體" w:hAnsi="微軟正黑體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7EF2FBA4" w14:textId="77777777" w:rsidR="00685A10" w:rsidRPr="00605056" w:rsidRDefault="00685A10" w:rsidP="00685A10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0" w:name="_Toc13158524"/>
      <w:proofErr w:type="gramStart"/>
      <w:r w:rsidRPr="00605056">
        <w:rPr>
          <w:rFonts w:ascii="微軟正黑體" w:eastAsia="微軟正黑體" w:hAnsi="微軟正黑體" w:hint="eastAsia"/>
          <w:sz w:val="30"/>
          <w:szCs w:val="30"/>
        </w:rPr>
        <w:lastRenderedPageBreak/>
        <w:t>ㄧ</w:t>
      </w:r>
      <w:proofErr w:type="gramEnd"/>
      <w:r w:rsidRPr="00605056">
        <w:rPr>
          <w:rFonts w:ascii="微軟正黑體" w:eastAsia="微軟正黑體" w:hAnsi="微軟正黑體" w:hint="eastAsia"/>
          <w:sz w:val="30"/>
          <w:szCs w:val="30"/>
        </w:rPr>
        <w:t>、共同資格類</w:t>
      </w:r>
      <w:bookmarkEnd w:id="0"/>
      <w:r w:rsidRPr="00605056">
        <w:rPr>
          <w:rFonts w:ascii="微軟正黑體" w:eastAsia="微軟正黑體" w:hAnsi="微軟正黑體" w:hint="eastAsia"/>
          <w:sz w:val="30"/>
          <w:szCs w:val="30"/>
        </w:rPr>
        <w:t xml:space="preserve"> </w:t>
      </w:r>
    </w:p>
    <w:p w14:paraId="4AACB13F" w14:textId="77777777" w:rsidR="005E5519" w:rsidRPr="00605056" w:rsidRDefault="005E5519" w:rsidP="005E551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" w:name="_Toc13158525"/>
      <w:r w:rsidRPr="00605056">
        <w:rPr>
          <w:rFonts w:ascii="微軟正黑體" w:eastAsia="微軟正黑體" w:hAnsi="微軟正黑體" w:hint="eastAsia"/>
          <w:sz w:val="28"/>
          <w:szCs w:val="28"/>
        </w:rPr>
        <w:t>Q1：</w:t>
      </w:r>
      <w:r w:rsidR="005F4DBD">
        <w:rPr>
          <w:rFonts w:ascii="微軟正黑體" w:eastAsia="微軟正黑體" w:hAnsi="微軟正黑體" w:hint="eastAsia"/>
          <w:sz w:val="28"/>
          <w:szCs w:val="28"/>
        </w:rPr>
        <w:t>何謂</w:t>
      </w:r>
      <w:r w:rsidR="0028459A">
        <w:rPr>
          <w:rFonts w:ascii="微軟正黑體" w:eastAsia="微軟正黑體" w:hAnsi="微軟正黑體" w:hint="eastAsia"/>
          <w:sz w:val="28"/>
          <w:szCs w:val="28"/>
        </w:rPr>
        <w:t>非屬中小企業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?</w:t>
      </w:r>
      <w:bookmarkEnd w:id="1"/>
    </w:p>
    <w:p w14:paraId="5E18A2AA" w14:textId="77777777" w:rsidR="00701B71" w:rsidRPr="0028459A" w:rsidRDefault="008B65AD" w:rsidP="009F6516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28459A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7225395C" w14:textId="77777777" w:rsidR="00C60CFE" w:rsidRPr="00C60CFE" w:rsidRDefault="00C60CFE" w:rsidP="002733B6">
      <w:pPr>
        <w:pStyle w:val="a5"/>
        <w:numPr>
          <w:ilvl w:val="0"/>
          <w:numId w:val="1"/>
        </w:numPr>
        <w:spacing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 w:rsidRPr="00C60CFE">
        <w:rPr>
          <w:rFonts w:ascii="微軟正黑體" w:eastAsia="微軟正黑體" w:hAnsi="微軟正黑體" w:hint="eastAsia"/>
          <w:sz w:val="28"/>
          <w:szCs w:val="28"/>
        </w:rPr>
        <w:t>「</w:t>
      </w:r>
      <w:hyperlink r:id="rId8" w:history="1">
        <w:r w:rsidRPr="008F7542">
          <w:rPr>
            <w:rStyle w:val="ab"/>
            <w:rFonts w:ascii="微軟正黑體" w:eastAsia="微軟正黑體" w:hAnsi="微軟正黑體" w:hint="eastAsia"/>
            <w:sz w:val="28"/>
            <w:szCs w:val="28"/>
          </w:rPr>
          <w:t>中小企業認定標準</w:t>
        </w:r>
      </w:hyperlink>
      <w:r w:rsidRPr="00C60CFE">
        <w:rPr>
          <w:rFonts w:ascii="微軟正黑體" w:eastAsia="微軟正黑體" w:hAnsi="微軟正黑體" w:hint="eastAsia"/>
          <w:sz w:val="28"/>
          <w:szCs w:val="28"/>
        </w:rPr>
        <w:t>」所稱中小企業，指依法辦理公司登記或商業登記，並合於下列基準之事業</w:t>
      </w:r>
      <w:r w:rsidR="0097630E">
        <w:rPr>
          <w:rFonts w:ascii="微軟正黑體" w:eastAsia="微軟正黑體" w:hAnsi="微軟正黑體" w:hint="eastAsia"/>
          <w:sz w:val="28"/>
          <w:szCs w:val="28"/>
        </w:rPr>
        <w:t>(中小企業處)</w:t>
      </w:r>
      <w:r w:rsidRPr="00C60CFE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191663F4" w14:textId="77777777" w:rsidR="00C60CFE" w:rsidRPr="00C60CFE" w:rsidRDefault="00C60CFE" w:rsidP="001A7D35">
      <w:pPr>
        <w:pStyle w:val="a5"/>
        <w:numPr>
          <w:ilvl w:val="0"/>
          <w:numId w:val="9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C60CFE">
        <w:rPr>
          <w:rFonts w:ascii="微軟正黑體" w:eastAsia="微軟正黑體" w:hAnsi="微軟正黑體" w:hint="eastAsia"/>
          <w:sz w:val="28"/>
          <w:szCs w:val="28"/>
        </w:rPr>
        <w:t>製造業、營造業、礦業及土石採取業實收資本額在新臺幣八千萬元以下，或經常僱用員工數未滿二百人者。</w:t>
      </w:r>
    </w:p>
    <w:p w14:paraId="0B053FEA" w14:textId="77777777" w:rsidR="00C60CFE" w:rsidRDefault="00C60CFE" w:rsidP="001A7D35">
      <w:pPr>
        <w:pStyle w:val="a5"/>
        <w:numPr>
          <w:ilvl w:val="0"/>
          <w:numId w:val="9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C60CFE">
        <w:rPr>
          <w:rFonts w:ascii="微軟正黑體" w:eastAsia="微軟正黑體" w:hAnsi="微軟正黑體" w:hint="eastAsia"/>
          <w:sz w:val="28"/>
          <w:szCs w:val="28"/>
        </w:rPr>
        <w:t>除前款規定外之其他行業前一年營業額在新臺幣一億元以下，或經常僱用員工數未滿一百人者。</w:t>
      </w:r>
    </w:p>
    <w:p w14:paraId="6371B74B" w14:textId="77777777" w:rsidR="00C60CFE" w:rsidRDefault="00661E97" w:rsidP="002733B6">
      <w:pPr>
        <w:pStyle w:val="a5"/>
        <w:numPr>
          <w:ilvl w:val="0"/>
          <w:numId w:val="1"/>
        </w:numPr>
        <w:spacing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「非屬中小企業者」之資格為逾上述基準以上之事業。</w:t>
      </w:r>
    </w:p>
    <w:p w14:paraId="1C91966F" w14:textId="37F76D05" w:rsidR="005E5519" w:rsidRPr="00C60CFE" w:rsidRDefault="005E5519" w:rsidP="00243B99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2" w:name="_Toc13158526"/>
      <w:r w:rsidRPr="00C60CFE">
        <w:rPr>
          <w:rFonts w:ascii="微軟正黑體" w:eastAsia="微軟正黑體" w:hAnsi="微軟正黑體" w:hint="eastAsia"/>
          <w:sz w:val="28"/>
          <w:szCs w:val="28"/>
        </w:rPr>
        <w:t>Q2：</w:t>
      </w:r>
      <w:bookmarkEnd w:id="2"/>
      <w:r w:rsidR="003B732D">
        <w:rPr>
          <w:rFonts w:ascii="微軟正黑體" w:eastAsia="微軟正黑體" w:hAnsi="微軟正黑體" w:hint="eastAsia"/>
          <w:sz w:val="28"/>
          <w:szCs w:val="28"/>
        </w:rPr>
        <w:t>何謂</w:t>
      </w:r>
      <w:r w:rsidR="003B732D" w:rsidRPr="003B732D">
        <w:rPr>
          <w:rFonts w:ascii="微軟正黑體" w:eastAsia="微軟正黑體" w:hAnsi="微軟正黑體" w:hint="eastAsia"/>
          <w:sz w:val="28"/>
          <w:szCs w:val="28"/>
        </w:rPr>
        <w:t>未取得「歡迎</w:t>
      </w:r>
      <w:proofErr w:type="gramStart"/>
      <w:r w:rsidR="003B732D" w:rsidRPr="003B732D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3B732D" w:rsidRPr="003B732D">
        <w:rPr>
          <w:rFonts w:ascii="微軟正黑體" w:eastAsia="微軟正黑體" w:hAnsi="微軟正黑體" w:hint="eastAsia"/>
          <w:sz w:val="28"/>
          <w:szCs w:val="28"/>
        </w:rPr>
        <w:t>商回</w:t>
      </w:r>
      <w:proofErr w:type="gramStart"/>
      <w:r w:rsidR="003B732D" w:rsidRPr="003B732D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3B732D" w:rsidRPr="003B732D">
        <w:rPr>
          <w:rFonts w:ascii="微軟正黑體" w:eastAsia="微軟正黑體" w:hAnsi="微軟正黑體" w:hint="eastAsia"/>
          <w:sz w:val="28"/>
          <w:szCs w:val="28"/>
        </w:rPr>
        <w:t>投資行動方案」資格</w:t>
      </w:r>
      <w:r w:rsidR="003B732D">
        <w:rPr>
          <w:rFonts w:ascii="微軟正黑體" w:eastAsia="微軟正黑體" w:hAnsi="微軟正黑體" w:hint="eastAsia"/>
          <w:sz w:val="28"/>
          <w:szCs w:val="28"/>
        </w:rPr>
        <w:t>?</w:t>
      </w:r>
    </w:p>
    <w:p w14:paraId="0D4DD054" w14:textId="77777777" w:rsidR="003B732D" w:rsidRDefault="009F6516" w:rsidP="003B732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C60CFE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0CDDB55B" w14:textId="67FC1E2C" w:rsidR="008B0B0E" w:rsidRPr="003B732D" w:rsidRDefault="002356A3" w:rsidP="003B732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係</w:t>
      </w:r>
      <w:r w:rsidRPr="002356A3">
        <w:rPr>
          <w:rFonts w:ascii="微軟正黑體" w:eastAsia="微軟正黑體" w:hAnsi="微軟正黑體" w:hint="eastAsia"/>
          <w:sz w:val="28"/>
          <w:szCs w:val="28"/>
        </w:rPr>
        <w:t>指廠商未取得</w:t>
      </w:r>
      <w:r>
        <w:rPr>
          <w:rFonts w:ascii="微軟正黑體" w:eastAsia="微軟正黑體" w:hAnsi="微軟正黑體" w:hint="eastAsia"/>
          <w:sz w:val="28"/>
          <w:szCs w:val="28"/>
        </w:rPr>
        <w:t>投資臺灣事務所正式核發之</w:t>
      </w:r>
      <w:r w:rsidRPr="003B732D">
        <w:rPr>
          <w:rFonts w:ascii="微軟正黑體" w:eastAsia="微軟正黑體" w:hAnsi="微軟正黑體" w:hint="eastAsia"/>
          <w:sz w:val="28"/>
          <w:szCs w:val="28"/>
        </w:rPr>
        <w:t>「歡迎</w:t>
      </w:r>
      <w:proofErr w:type="gramStart"/>
      <w:r w:rsidRPr="003B732D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3B732D">
        <w:rPr>
          <w:rFonts w:ascii="微軟正黑體" w:eastAsia="微軟正黑體" w:hAnsi="微軟正黑體" w:hint="eastAsia"/>
          <w:sz w:val="28"/>
          <w:szCs w:val="28"/>
        </w:rPr>
        <w:t>商回</w:t>
      </w:r>
      <w:proofErr w:type="gramStart"/>
      <w:r w:rsidRPr="003B732D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3B732D">
        <w:rPr>
          <w:rFonts w:ascii="微軟正黑體" w:eastAsia="微軟正黑體" w:hAnsi="微軟正黑體" w:hint="eastAsia"/>
          <w:sz w:val="28"/>
          <w:szCs w:val="28"/>
        </w:rPr>
        <w:t>投資行動方案」資格</w:t>
      </w:r>
      <w:r>
        <w:rPr>
          <w:rFonts w:ascii="微軟正黑體" w:eastAsia="微軟正黑體" w:hAnsi="微軟正黑體" w:hint="eastAsia"/>
          <w:sz w:val="28"/>
          <w:szCs w:val="28"/>
        </w:rPr>
        <w:t>認定函。</w:t>
      </w:r>
      <w:r w:rsidR="008B0B0E">
        <w:rPr>
          <w:rFonts w:ascii="微軟正黑體" w:eastAsia="微軟正黑體" w:hAnsi="微軟正黑體"/>
          <w:sz w:val="30"/>
          <w:szCs w:val="30"/>
        </w:rPr>
        <w:br w:type="page"/>
      </w:r>
      <w:bookmarkStart w:id="3" w:name="_GoBack"/>
      <w:bookmarkEnd w:id="3"/>
    </w:p>
    <w:p w14:paraId="308320D4" w14:textId="77777777" w:rsidR="00685A10" w:rsidRPr="00605056" w:rsidRDefault="00B85C56" w:rsidP="00B85C56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4" w:name="_Toc13158527"/>
      <w:r w:rsidRPr="00605056">
        <w:rPr>
          <w:rFonts w:ascii="微軟正黑體" w:eastAsia="微軟正黑體" w:hAnsi="微軟正黑體" w:hint="eastAsia"/>
          <w:sz w:val="30"/>
          <w:szCs w:val="30"/>
        </w:rPr>
        <w:lastRenderedPageBreak/>
        <w:t>二、特定資格類</w:t>
      </w:r>
      <w:r w:rsidR="00141B2A">
        <w:rPr>
          <w:rFonts w:ascii="微軟正黑體" w:eastAsia="微軟正黑體" w:hAnsi="微軟正黑體" w:hint="eastAsia"/>
          <w:sz w:val="30"/>
          <w:szCs w:val="30"/>
        </w:rPr>
        <w:t>-製造業</w:t>
      </w:r>
      <w:bookmarkEnd w:id="4"/>
    </w:p>
    <w:p w14:paraId="318F2468" w14:textId="5AEA48B0" w:rsidR="009C3415" w:rsidRDefault="009C3415" w:rsidP="00BE0326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5" w:name="_Toc13158528"/>
      <w:r>
        <w:rPr>
          <w:rFonts w:ascii="微軟正黑體" w:eastAsia="微軟正黑體" w:hAnsi="微軟正黑體" w:hint="eastAsia"/>
          <w:bCs w:val="0"/>
          <w:sz w:val="28"/>
          <w:szCs w:val="28"/>
        </w:rPr>
        <w:t>Q1：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何謂回</w:t>
      </w:r>
      <w:proofErr w:type="gramStart"/>
      <w:r w:rsidR="00722FB4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605056">
        <w:rPr>
          <w:rFonts w:ascii="微軟正黑體" w:eastAsia="微軟正黑體" w:hAnsi="微軟正黑體" w:hint="eastAsia"/>
          <w:sz w:val="28"/>
          <w:szCs w:val="28"/>
        </w:rPr>
        <w:t>投資/擴廠部分產線須具備智慧技術元素或智慧化功能? (工業局)</w:t>
      </w:r>
      <w:bookmarkEnd w:id="5"/>
    </w:p>
    <w:p w14:paraId="5B7476E2" w14:textId="77777777" w:rsidR="009C3415" w:rsidRPr="00605056" w:rsidRDefault="009C3415" w:rsidP="004F6633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4F6633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1E01926C" w14:textId="77777777" w:rsidR="009C3415" w:rsidRPr="009C3415" w:rsidRDefault="009C3415" w:rsidP="004F6633">
      <w:pPr>
        <w:spacing w:after="240" w:line="440" w:lineRule="exact"/>
        <w:ind w:leftChars="177" w:left="425"/>
        <w:rPr>
          <w:rFonts w:ascii="微軟正黑體" w:eastAsia="微軟正黑體" w:hAnsi="微軟正黑體"/>
          <w:sz w:val="28"/>
          <w:szCs w:val="28"/>
        </w:rPr>
      </w:pPr>
      <w:r w:rsidRPr="00605056">
        <w:rPr>
          <w:rFonts w:ascii="微軟正黑體" w:eastAsia="微軟正黑體" w:hAnsi="微軟正黑體" w:hint="eastAsia"/>
          <w:sz w:val="28"/>
          <w:szCs w:val="28"/>
        </w:rPr>
        <w:t>指運用巨量資料、人工智慧、</w:t>
      </w:r>
      <w:proofErr w:type="gramStart"/>
      <w:r w:rsidRPr="00605056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605056">
        <w:rPr>
          <w:rFonts w:ascii="微軟正黑體" w:eastAsia="微軟正黑體" w:hAnsi="微軟正黑體" w:hint="eastAsia"/>
          <w:sz w:val="28"/>
          <w:szCs w:val="28"/>
        </w:rPr>
        <w:t>、機器人、精實管理、數位化管理、虛實整合、積層製造或感測器之智慧技術元素，並具有生產資訊</w:t>
      </w:r>
      <w:proofErr w:type="gramStart"/>
      <w:r w:rsidRPr="00605056">
        <w:rPr>
          <w:rFonts w:ascii="微軟正黑體" w:eastAsia="微軟正黑體" w:hAnsi="微軟正黑體" w:hint="eastAsia"/>
          <w:sz w:val="28"/>
          <w:szCs w:val="28"/>
        </w:rPr>
        <w:t>可視化</w:t>
      </w:r>
      <w:proofErr w:type="gramEnd"/>
      <w:r w:rsidRPr="00605056">
        <w:rPr>
          <w:rFonts w:ascii="微軟正黑體" w:eastAsia="微軟正黑體" w:hAnsi="微軟正黑體" w:hint="eastAsia"/>
          <w:sz w:val="28"/>
          <w:szCs w:val="28"/>
        </w:rPr>
        <w:t>、故障預測、精度補償、自動參數設定、自動控制、自動排程、應用服務軟體、彈性生產</w:t>
      </w:r>
      <w:proofErr w:type="gramStart"/>
      <w:r w:rsidRPr="00605056">
        <w:rPr>
          <w:rFonts w:ascii="微軟正黑體" w:eastAsia="微軟正黑體" w:hAnsi="微軟正黑體" w:hint="eastAsia"/>
          <w:sz w:val="28"/>
          <w:szCs w:val="28"/>
        </w:rPr>
        <w:t>或混線</w:t>
      </w:r>
      <w:proofErr w:type="gramEnd"/>
      <w:r w:rsidRPr="00605056">
        <w:rPr>
          <w:rFonts w:ascii="微軟正黑體" w:eastAsia="微軟正黑體" w:hAnsi="微軟正黑體" w:hint="eastAsia"/>
          <w:sz w:val="28"/>
          <w:szCs w:val="28"/>
        </w:rPr>
        <w:t>生產之智慧化功能者。</w:t>
      </w:r>
    </w:p>
    <w:p w14:paraId="3D5AF64D" w14:textId="77777777" w:rsidR="00B85C56" w:rsidRPr="00605056" w:rsidRDefault="009C3415" w:rsidP="00BE0326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6" w:name="_Toc13158529"/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4F6633">
        <w:rPr>
          <w:rFonts w:ascii="微軟正黑體" w:eastAsia="微軟正黑體" w:hAnsi="微軟正黑體" w:hint="eastAsia"/>
          <w:bCs w:val="0"/>
          <w:sz w:val="28"/>
          <w:szCs w:val="28"/>
        </w:rPr>
        <w:t>2</w:t>
      </w:r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：屬5+2產業創新領域為何?(工業局)</w:t>
      </w:r>
      <w:bookmarkEnd w:id="6"/>
    </w:p>
    <w:p w14:paraId="65A7C33C" w14:textId="77777777" w:rsidR="008B65AD" w:rsidRPr="00605056" w:rsidRDefault="008B65AD" w:rsidP="008B65A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605056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6FF9B7C6" w14:textId="77777777" w:rsidR="008110CD" w:rsidRDefault="008110CD" w:rsidP="008110CD">
      <w:pPr>
        <w:pStyle w:val="a5"/>
        <w:numPr>
          <w:ilvl w:val="0"/>
          <w:numId w:val="11"/>
        </w:numPr>
        <w:spacing w:after="240"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004B27">
        <w:rPr>
          <w:rFonts w:ascii="微軟正黑體" w:eastAsia="微軟正黑體" w:hAnsi="微軟正黑體" w:hint="eastAsia"/>
          <w:sz w:val="28"/>
          <w:szCs w:val="28"/>
        </w:rPr>
        <w:t>5+2產業創新領域包括：「</w:t>
      </w:r>
      <w:hyperlink r:id="rId9" w:history="1"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智慧機械」</w:t>
        </w:r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、「</w:t>
      </w:r>
      <w:hyperlink r:id="rId10" w:history="1"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亞洲</w:t>
        </w:r>
        <w:proofErr w:type="gramStart"/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‧</w:t>
        </w:r>
        <w:proofErr w:type="gramEnd"/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矽谷</w:t>
        </w:r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」、「</w:t>
      </w:r>
      <w:hyperlink r:id="rId11" w:history="1">
        <w:proofErr w:type="gramStart"/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綠能科技</w:t>
        </w:r>
        <w:proofErr w:type="gramEnd"/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」、「</w:t>
      </w:r>
      <w:hyperlink r:id="rId12" w:history="1"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生</w:t>
        </w:r>
        <w:proofErr w:type="gramStart"/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醫</w:t>
        </w:r>
        <w:proofErr w:type="gramEnd"/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產業</w:t>
        </w:r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」、「國防產業」、「</w:t>
      </w:r>
      <w:hyperlink r:id="rId13" w:history="1"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新農業</w:t>
        </w:r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」及「</w:t>
      </w:r>
      <w:hyperlink r:id="rId14" w:history="1">
        <w:r w:rsidRPr="003E1B95">
          <w:rPr>
            <w:rStyle w:val="ab"/>
            <w:rFonts w:ascii="微軟正黑體" w:eastAsia="微軟正黑體" w:hAnsi="微軟正黑體" w:hint="eastAsia"/>
            <w:sz w:val="28"/>
            <w:szCs w:val="28"/>
          </w:rPr>
          <w:t>循環經濟</w:t>
        </w:r>
      </w:hyperlink>
      <w:r w:rsidRPr="00004B27">
        <w:rPr>
          <w:rFonts w:ascii="微軟正黑體" w:eastAsia="微軟正黑體" w:hAnsi="微軟正黑體" w:hint="eastAsia"/>
          <w:sz w:val="28"/>
          <w:szCs w:val="28"/>
        </w:rPr>
        <w:t>」。</w:t>
      </w:r>
    </w:p>
    <w:p w14:paraId="5A0C251C" w14:textId="77777777" w:rsidR="008110CD" w:rsidRPr="006F43C1" w:rsidRDefault="002356A3" w:rsidP="008110CD">
      <w:pPr>
        <w:pStyle w:val="a5"/>
        <w:numPr>
          <w:ilvl w:val="0"/>
          <w:numId w:val="11"/>
        </w:numPr>
        <w:spacing w:after="240"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hyperlink r:id="rId15" w:history="1">
        <w:r w:rsidR="008110CD">
          <w:rPr>
            <w:rStyle w:val="ab"/>
            <w:rFonts w:ascii="微軟正黑體" w:eastAsia="微軟正黑體" w:hAnsi="微軟正黑體" w:hint="eastAsia"/>
            <w:sz w:val="28"/>
            <w:szCs w:val="28"/>
          </w:rPr>
          <w:t>5+2創新產業計畫說明</w:t>
        </w:r>
      </w:hyperlink>
      <w:r w:rsidR="008110CD" w:rsidRPr="006F43C1">
        <w:rPr>
          <w:rFonts w:ascii="微軟正黑體" w:eastAsia="微軟正黑體" w:hAnsi="微軟正黑體" w:hint="eastAsia"/>
          <w:sz w:val="28"/>
          <w:szCs w:val="28"/>
        </w:rPr>
        <w:t>請參考國發會網址</w:t>
      </w:r>
      <w:r w:rsidR="008110CD" w:rsidRPr="006F43C1">
        <w:rPr>
          <w:rFonts w:ascii="微軟正黑體" w:eastAsia="微軟正黑體" w:hAnsi="微軟正黑體" w:cs="Times New Roman"/>
          <w:sz w:val="28"/>
          <w:szCs w:val="28"/>
        </w:rPr>
        <w:t>之說明</w:t>
      </w:r>
      <w:r w:rsidR="008110CD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="008110CD" w:rsidRPr="006F43C1">
        <w:rPr>
          <w:rFonts w:ascii="微軟正黑體" w:eastAsia="微軟正黑體" w:hAnsi="微軟正黑體" w:hint="eastAsia"/>
          <w:sz w:val="28"/>
          <w:szCs w:val="28"/>
        </w:rPr>
        <w:t>(</w:t>
      </w:r>
      <w:r w:rsidR="008110CD" w:rsidRPr="006F43C1">
        <w:rPr>
          <w:rFonts w:ascii="微軟正黑體" w:eastAsia="微軟正黑體" w:hAnsi="微軟正黑體"/>
        </w:rPr>
        <w:t>httpx</w:t>
      </w:r>
      <w:r w:rsidR="008110CD" w:rsidRPr="006F43C1">
        <w:rPr>
          <w:rFonts w:ascii="微軟正黑體" w:eastAsia="微軟正黑體" w:hAnsi="微軟正黑體" w:cs="Times New Roman"/>
        </w:rPr>
        <w:t>s://www.ndc.gov.tw/Content_List.aspx?n=9D024A4424DC36B9&amp;upn=6E972F5C30BF198F</w:t>
      </w:r>
      <w:r w:rsidR="008110CD" w:rsidRPr="006F43C1">
        <w:rPr>
          <w:rFonts w:ascii="微軟正黑體" w:eastAsia="微軟正黑體" w:hAnsi="微軟正黑體" w:cs="Times New Roman"/>
          <w:sz w:val="28"/>
          <w:szCs w:val="28"/>
        </w:rPr>
        <w:t>)</w:t>
      </w:r>
    </w:p>
    <w:p w14:paraId="1EF87884" w14:textId="77777777" w:rsidR="008110CD" w:rsidRPr="00122649" w:rsidRDefault="008110CD" w:rsidP="008110CD">
      <w:pPr>
        <w:spacing w:after="240"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 w:rsidRPr="00122649">
        <w:rPr>
          <w:rFonts w:ascii="微軟正黑體" w:eastAsia="微軟正黑體" w:hAnsi="微軟正黑體" w:hint="eastAsia"/>
          <w:sz w:val="28"/>
          <w:szCs w:val="28"/>
        </w:rPr>
        <w:t>如「智慧機械」：為</w:t>
      </w:r>
      <w:proofErr w:type="gramStart"/>
      <w:r w:rsidRPr="00122649">
        <w:rPr>
          <w:rFonts w:ascii="微軟正黑體" w:eastAsia="微軟正黑體" w:hAnsi="微軟正黑體" w:hint="eastAsia"/>
          <w:sz w:val="28"/>
          <w:szCs w:val="28"/>
        </w:rPr>
        <w:t>推動智機產業</w:t>
      </w:r>
      <w:proofErr w:type="gramEnd"/>
      <w:r w:rsidRPr="00122649">
        <w:rPr>
          <w:rFonts w:ascii="微軟正黑體" w:eastAsia="微軟正黑體" w:hAnsi="微軟正黑體" w:hint="eastAsia"/>
          <w:sz w:val="28"/>
          <w:szCs w:val="28"/>
        </w:rPr>
        <w:t>化及產業</w:t>
      </w:r>
      <w:proofErr w:type="gramStart"/>
      <w:r w:rsidRPr="00122649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Pr="00122649">
        <w:rPr>
          <w:rFonts w:ascii="微軟正黑體" w:eastAsia="微軟正黑體" w:hAnsi="微軟正黑體" w:hint="eastAsia"/>
          <w:sz w:val="28"/>
          <w:szCs w:val="28"/>
        </w:rPr>
        <w:t>，其定義及範疇如下：</w:t>
      </w:r>
    </w:p>
    <w:p w14:paraId="3D343586" w14:textId="77777777" w:rsidR="008110CD" w:rsidRPr="00004B27" w:rsidRDefault="008110CD" w:rsidP="008110CD">
      <w:pPr>
        <w:pStyle w:val="a5"/>
        <w:numPr>
          <w:ilvl w:val="1"/>
          <w:numId w:val="11"/>
        </w:numPr>
        <w:spacing w:after="240"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122649">
        <w:rPr>
          <w:rFonts w:ascii="微軟正黑體" w:eastAsia="微軟正黑體" w:hAnsi="微軟正黑體" w:hint="eastAsia"/>
          <w:b/>
          <w:sz w:val="28"/>
          <w:szCs w:val="28"/>
        </w:rPr>
        <w:t>智機產業</w:t>
      </w:r>
      <w:proofErr w:type="gramEnd"/>
      <w:r w:rsidRPr="00122649">
        <w:rPr>
          <w:rFonts w:ascii="微軟正黑體" w:eastAsia="微軟正黑體" w:hAnsi="微軟正黑體" w:hint="eastAsia"/>
          <w:b/>
          <w:sz w:val="28"/>
          <w:szCs w:val="28"/>
        </w:rPr>
        <w:t>化定義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：</w:t>
      </w:r>
      <w:proofErr w:type="gramStart"/>
      <w:r w:rsidRPr="00004B27">
        <w:rPr>
          <w:rFonts w:ascii="微軟正黑體" w:eastAsia="微軟正黑體" w:hAnsi="微軟正黑體" w:hint="eastAsia"/>
          <w:sz w:val="28"/>
          <w:szCs w:val="28"/>
        </w:rPr>
        <w:t>智機即</w:t>
      </w:r>
      <w:proofErr w:type="gramEnd"/>
      <w:r w:rsidRPr="00004B27">
        <w:rPr>
          <w:rFonts w:ascii="微軟正黑體" w:eastAsia="微軟正黑體" w:hAnsi="微軟正黑體" w:hint="eastAsia"/>
          <w:sz w:val="28"/>
          <w:szCs w:val="28"/>
        </w:rPr>
        <w:t>智慧機械，為整合各種智慧技術元素，使其具備</w:t>
      </w:r>
      <w:r w:rsidRPr="00004B27">
        <w:rPr>
          <w:rFonts w:ascii="微軟正黑體" w:eastAsia="微軟正黑體" w:hAnsi="微軟正黑體" w:hint="eastAsia"/>
          <w:b/>
          <w:bCs/>
          <w:sz w:val="28"/>
          <w:szCs w:val="28"/>
        </w:rPr>
        <w:t>故障預測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、</w:t>
      </w:r>
      <w:r w:rsidRPr="00004B27">
        <w:rPr>
          <w:rFonts w:ascii="微軟正黑體" w:eastAsia="微軟正黑體" w:hAnsi="微軟正黑體" w:hint="eastAsia"/>
          <w:b/>
          <w:bCs/>
          <w:sz w:val="28"/>
          <w:szCs w:val="28"/>
        </w:rPr>
        <w:t>精度補償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、</w:t>
      </w:r>
      <w:r w:rsidRPr="00004B27">
        <w:rPr>
          <w:rFonts w:ascii="微軟正黑體" w:eastAsia="微軟正黑體" w:hAnsi="微軟正黑體" w:hint="eastAsia"/>
          <w:b/>
          <w:bCs/>
          <w:sz w:val="28"/>
          <w:szCs w:val="28"/>
        </w:rPr>
        <w:t>自動參數設定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與</w:t>
      </w:r>
      <w:r w:rsidRPr="00004B27">
        <w:rPr>
          <w:rFonts w:ascii="微軟正黑體" w:eastAsia="微軟正黑體" w:hAnsi="微軟正黑體" w:hint="eastAsia"/>
          <w:b/>
          <w:bCs/>
          <w:sz w:val="28"/>
          <w:szCs w:val="28"/>
        </w:rPr>
        <w:t>自動排程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等智慧化功能，並具備提供</w:t>
      </w:r>
      <w:r w:rsidRPr="00004B27">
        <w:rPr>
          <w:rFonts w:ascii="微軟正黑體" w:eastAsia="微軟正黑體" w:hAnsi="微軟正黑體"/>
          <w:b/>
          <w:bCs/>
          <w:sz w:val="28"/>
          <w:szCs w:val="28"/>
        </w:rPr>
        <w:t>Total Solution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及建立</w:t>
      </w:r>
      <w:r w:rsidRPr="00004B27">
        <w:rPr>
          <w:rFonts w:ascii="微軟正黑體" w:eastAsia="微軟正黑體" w:hAnsi="微軟正黑體" w:hint="eastAsia"/>
          <w:b/>
          <w:bCs/>
          <w:sz w:val="28"/>
          <w:szCs w:val="28"/>
        </w:rPr>
        <w:t>差異化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競爭優勢之功能。</w:t>
      </w:r>
    </w:p>
    <w:p w14:paraId="16F619CB" w14:textId="77777777" w:rsidR="008110CD" w:rsidRPr="00605056" w:rsidRDefault="008110CD" w:rsidP="008110CD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  <w:r w:rsidRPr="00605056">
        <w:rPr>
          <w:rFonts w:ascii="微軟正黑體" w:eastAsia="微軟正黑體" w:hAnsi="微軟正黑體" w:hint="eastAsia"/>
          <w:sz w:val="28"/>
          <w:szCs w:val="28"/>
        </w:rPr>
        <w:t xml:space="preserve">   範疇包含：建立設備整機、零組件、機器人、</w:t>
      </w:r>
      <w:proofErr w:type="gramStart"/>
      <w:r w:rsidRPr="00605056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605056">
        <w:rPr>
          <w:rFonts w:ascii="微軟正黑體" w:eastAsia="微軟正黑體" w:hAnsi="微軟正黑體" w:hint="eastAsia"/>
          <w:sz w:val="28"/>
          <w:szCs w:val="28"/>
        </w:rPr>
        <w:t>、大數據、</w:t>
      </w:r>
      <w:r w:rsidRPr="00605056">
        <w:rPr>
          <w:rFonts w:ascii="微軟正黑體" w:eastAsia="微軟正黑體" w:hAnsi="微軟正黑體"/>
          <w:sz w:val="28"/>
          <w:szCs w:val="28"/>
        </w:rPr>
        <w:t>CPS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、感測器等產業。</w:t>
      </w:r>
    </w:p>
    <w:p w14:paraId="7A48387D" w14:textId="77777777" w:rsidR="008110CD" w:rsidRPr="00004B27" w:rsidRDefault="008110CD" w:rsidP="008110CD">
      <w:pPr>
        <w:pStyle w:val="a5"/>
        <w:numPr>
          <w:ilvl w:val="1"/>
          <w:numId w:val="11"/>
        </w:numPr>
        <w:spacing w:after="240"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122649">
        <w:rPr>
          <w:rFonts w:ascii="微軟正黑體" w:eastAsia="微軟正黑體" w:hAnsi="微軟正黑體" w:hint="eastAsia"/>
          <w:b/>
          <w:sz w:val="28"/>
          <w:szCs w:val="28"/>
        </w:rPr>
        <w:t>產業</w:t>
      </w:r>
      <w:proofErr w:type="gramStart"/>
      <w:r w:rsidRPr="00122649">
        <w:rPr>
          <w:rFonts w:ascii="微軟正黑體" w:eastAsia="微軟正黑體" w:hAnsi="微軟正黑體" w:hint="eastAsia"/>
          <w:b/>
          <w:sz w:val="28"/>
          <w:szCs w:val="28"/>
        </w:rPr>
        <w:t>智機化</w:t>
      </w:r>
      <w:proofErr w:type="gramEnd"/>
      <w:r w:rsidRPr="00122649">
        <w:rPr>
          <w:rFonts w:ascii="微軟正黑體" w:eastAsia="微軟正黑體" w:hAnsi="微軟正黑體" w:hint="eastAsia"/>
          <w:b/>
          <w:sz w:val="28"/>
          <w:szCs w:val="28"/>
        </w:rPr>
        <w:t>定義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：產業導入智慧機械，建構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智慧生產線</w:t>
      </w:r>
      <w:r w:rsidRPr="00004B27">
        <w:rPr>
          <w:rFonts w:ascii="微軟正黑體" w:eastAsia="微軟正黑體" w:hAnsi="微軟正黑體"/>
          <w:sz w:val="28"/>
          <w:szCs w:val="28"/>
        </w:rPr>
        <w:t>(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具高效率、高品質、高彈性特徵</w:t>
      </w:r>
      <w:r w:rsidRPr="00004B27">
        <w:rPr>
          <w:rFonts w:ascii="微軟正黑體" w:eastAsia="微軟正黑體" w:hAnsi="微軟正黑體"/>
          <w:sz w:val="28"/>
          <w:szCs w:val="28"/>
        </w:rPr>
        <w:t>)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，透過雲端及網路與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消費者快速連結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，提供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大量客製化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之產品，形成</w:t>
      </w:r>
      <w:r w:rsidRPr="00004B27">
        <w:rPr>
          <w:rFonts w:ascii="微軟正黑體" w:eastAsia="微軟正黑體" w:hAnsi="微軟正黑體" w:hint="eastAsia"/>
          <w:sz w:val="28"/>
          <w:szCs w:val="28"/>
        </w:rPr>
        <w:t>聯網製造服務體系。</w:t>
      </w:r>
    </w:p>
    <w:p w14:paraId="3FAC1902" w14:textId="77777777" w:rsidR="00513283" w:rsidRPr="00605056" w:rsidRDefault="008110CD" w:rsidP="008110CD">
      <w:pPr>
        <w:spacing w:beforeLines="30" w:before="108" w:after="240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  <w:r w:rsidRPr="00605056">
        <w:rPr>
          <w:rFonts w:ascii="微軟正黑體" w:eastAsia="微軟正黑體" w:hAnsi="微軟正黑體" w:hint="eastAsia"/>
          <w:sz w:val="28"/>
          <w:szCs w:val="28"/>
        </w:rPr>
        <w:lastRenderedPageBreak/>
        <w:t xml:space="preserve">   範疇包含：包含航太、半導體、電子資訊、金屬運具、機械設備、食品、紡織、零售、物流、農業等產業。</w:t>
      </w:r>
    </w:p>
    <w:p w14:paraId="48483678" w14:textId="77777777" w:rsidR="00B85C56" w:rsidRPr="00605056" w:rsidRDefault="00B85C56" w:rsidP="00BE0326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7" w:name="_Toc13158530"/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4F6633">
        <w:rPr>
          <w:rFonts w:ascii="微軟正黑體" w:eastAsia="微軟正黑體" w:hAnsi="微軟正黑體" w:hint="eastAsia"/>
          <w:bCs w:val="0"/>
          <w:sz w:val="28"/>
          <w:szCs w:val="28"/>
        </w:rPr>
        <w:t>3</w:t>
      </w:r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：屬高附加價值產品及關鍵零組件相關產業類別為何?</w:t>
      </w:r>
      <w:r w:rsidR="001203EC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7"/>
    </w:p>
    <w:p w14:paraId="155E8425" w14:textId="77777777" w:rsidR="00E41858" w:rsidRPr="00605056" w:rsidRDefault="00BE0326" w:rsidP="00E41858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605056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E41858" w:rsidRPr="00605056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216"/>
      </w:tblGrid>
      <w:tr w:rsidR="00E41858" w:rsidRPr="00605056" w14:paraId="665DD09A" w14:textId="77777777" w:rsidTr="00E41858">
        <w:trPr>
          <w:tblHeader/>
        </w:trPr>
        <w:tc>
          <w:tcPr>
            <w:tcW w:w="709" w:type="dxa"/>
            <w:shd w:val="clear" w:color="auto" w:fill="auto"/>
          </w:tcPr>
          <w:p w14:paraId="66003E2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/>
                <w:szCs w:val="24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14:paraId="325D5FA5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05056">
              <w:rPr>
                <w:rFonts w:ascii="微軟正黑體" w:eastAsia="微軟正黑體" w:hAnsi="微軟正黑體"/>
                <w:b/>
                <w:szCs w:val="24"/>
              </w:rPr>
              <w:t>項目</w:t>
            </w:r>
          </w:p>
        </w:tc>
        <w:tc>
          <w:tcPr>
            <w:tcW w:w="5216" w:type="dxa"/>
            <w:shd w:val="clear" w:color="auto" w:fill="auto"/>
          </w:tcPr>
          <w:p w14:paraId="432B11F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/>
                <w:szCs w:val="24"/>
              </w:rPr>
              <w:t>行業別</w:t>
            </w:r>
          </w:p>
        </w:tc>
      </w:tr>
      <w:tr w:rsidR="00E41858" w:rsidRPr="00605056" w14:paraId="2E42B7E5" w14:textId="77777777" w:rsidTr="00E41858">
        <w:tc>
          <w:tcPr>
            <w:tcW w:w="709" w:type="dxa"/>
            <w:shd w:val="clear" w:color="auto" w:fill="auto"/>
          </w:tcPr>
          <w:p w14:paraId="38189EE7" w14:textId="77777777" w:rsidR="00E41858" w:rsidRPr="00605056" w:rsidRDefault="00E41858" w:rsidP="000258B8">
            <w:pPr>
              <w:spacing w:line="440" w:lineRule="exact"/>
              <w:ind w:leftChars="-63" w:left="-151" w:firstLineChars="45" w:firstLine="10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94E08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智慧電動車及應用服務</w:t>
            </w:r>
          </w:p>
        </w:tc>
        <w:tc>
          <w:tcPr>
            <w:tcW w:w="5216" w:type="dxa"/>
            <w:shd w:val="clear" w:color="auto" w:fill="auto"/>
          </w:tcPr>
          <w:p w14:paraId="2176885E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30汽車及其零件製造業</w:t>
            </w:r>
          </w:p>
          <w:p w14:paraId="5B5A3226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2820電池製造業</w:t>
            </w:r>
          </w:p>
        </w:tc>
      </w:tr>
      <w:tr w:rsidR="00E41858" w:rsidRPr="00605056" w14:paraId="01D93A7B" w14:textId="77777777" w:rsidTr="00E41858">
        <w:tc>
          <w:tcPr>
            <w:tcW w:w="709" w:type="dxa"/>
            <w:shd w:val="clear" w:color="auto" w:fill="auto"/>
          </w:tcPr>
          <w:p w14:paraId="509588BC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3AB6526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高階複合工具機及應用服務</w:t>
            </w:r>
          </w:p>
        </w:tc>
        <w:tc>
          <w:tcPr>
            <w:tcW w:w="5216" w:type="dxa"/>
            <w:shd w:val="clear" w:color="auto" w:fill="auto"/>
          </w:tcPr>
          <w:p w14:paraId="315415E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29機械設備製造業</w:t>
            </w:r>
          </w:p>
        </w:tc>
      </w:tr>
      <w:tr w:rsidR="00E41858" w:rsidRPr="00605056" w14:paraId="4EF44373" w14:textId="77777777" w:rsidTr="00E41858">
        <w:tc>
          <w:tcPr>
            <w:tcW w:w="709" w:type="dxa"/>
            <w:shd w:val="clear" w:color="auto" w:fill="auto"/>
          </w:tcPr>
          <w:p w14:paraId="05A521F5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B1459F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高強度輕量化自行車及應用服務</w:t>
            </w:r>
          </w:p>
        </w:tc>
        <w:tc>
          <w:tcPr>
            <w:tcW w:w="5216" w:type="dxa"/>
            <w:shd w:val="clear" w:color="auto" w:fill="auto"/>
          </w:tcPr>
          <w:p w14:paraId="46CD59A1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313自行車及其零件製造業</w:t>
            </w:r>
          </w:p>
        </w:tc>
      </w:tr>
      <w:tr w:rsidR="00E41858" w:rsidRPr="00605056" w14:paraId="4EE314DC" w14:textId="77777777" w:rsidTr="00E41858">
        <w:tc>
          <w:tcPr>
            <w:tcW w:w="709" w:type="dxa"/>
            <w:shd w:val="clear" w:color="auto" w:fill="auto"/>
          </w:tcPr>
          <w:p w14:paraId="0BCC7FBA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F4CBA1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風力發電設備及應用服務</w:t>
            </w:r>
          </w:p>
        </w:tc>
        <w:tc>
          <w:tcPr>
            <w:tcW w:w="5216" w:type="dxa"/>
            <w:shd w:val="clear" w:color="auto" w:fill="auto"/>
          </w:tcPr>
          <w:p w14:paraId="7D8BF50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28電力設備製造業</w:t>
            </w:r>
          </w:p>
          <w:p w14:paraId="7D44AE63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2810發電、輸電、配電機械製造業(風力發電)</w:t>
            </w:r>
          </w:p>
        </w:tc>
      </w:tr>
      <w:tr w:rsidR="00E41858" w:rsidRPr="00605056" w14:paraId="08AA318E" w14:textId="77777777" w:rsidTr="00E41858">
        <w:tc>
          <w:tcPr>
            <w:tcW w:w="709" w:type="dxa"/>
            <w:shd w:val="clear" w:color="auto" w:fill="auto"/>
          </w:tcPr>
          <w:p w14:paraId="78A4105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914B4D3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智慧型機器人及其應用服務</w:t>
            </w:r>
          </w:p>
        </w:tc>
        <w:tc>
          <w:tcPr>
            <w:tcW w:w="5216" w:type="dxa"/>
            <w:shd w:val="clear" w:color="auto" w:fill="auto"/>
          </w:tcPr>
          <w:p w14:paraId="3A69D201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29機械設備製造業</w:t>
            </w:r>
          </w:p>
        </w:tc>
      </w:tr>
      <w:tr w:rsidR="00E41858" w:rsidRPr="00605056" w14:paraId="730106C0" w14:textId="77777777" w:rsidTr="00E41858">
        <w:tc>
          <w:tcPr>
            <w:tcW w:w="709" w:type="dxa"/>
            <w:shd w:val="clear" w:color="auto" w:fill="auto"/>
          </w:tcPr>
          <w:p w14:paraId="043BC91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049F1DAD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航空級</w:t>
            </w:r>
            <w:proofErr w:type="gramStart"/>
            <w:r w:rsidRPr="00605056">
              <w:rPr>
                <w:rFonts w:ascii="微軟正黑體" w:eastAsia="微軟正黑體" w:hAnsi="微軟正黑體"/>
                <w:szCs w:val="24"/>
              </w:rPr>
              <w:t>複</w:t>
            </w:r>
            <w:proofErr w:type="gramEnd"/>
            <w:r w:rsidRPr="00605056">
              <w:rPr>
                <w:rFonts w:ascii="微軟正黑體" w:eastAsia="微軟正黑體" w:hAnsi="微軟正黑體"/>
                <w:szCs w:val="24"/>
              </w:rPr>
              <w:t>材結構件及其應用服務</w:t>
            </w:r>
          </w:p>
        </w:tc>
        <w:tc>
          <w:tcPr>
            <w:tcW w:w="5216" w:type="dxa"/>
            <w:shd w:val="clear" w:color="auto" w:fill="auto"/>
          </w:tcPr>
          <w:p w14:paraId="67423BE7" w14:textId="77777777" w:rsidR="00E41858" w:rsidRPr="00605056" w:rsidRDefault="00E41858" w:rsidP="000258B8">
            <w:pPr>
              <w:tabs>
                <w:tab w:val="left" w:pos="240"/>
                <w:tab w:val="left" w:pos="2880"/>
              </w:tabs>
              <w:spacing w:line="440" w:lineRule="exact"/>
              <w:ind w:left="317" w:hangingChars="132" w:hanging="317"/>
              <w:jc w:val="both"/>
              <w:rPr>
                <w:rFonts w:ascii="微軟正黑體" w:eastAsia="微軟正黑體" w:hAnsi="微軟正黑體"/>
                <w:spacing w:val="-1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Pr="00605056">
              <w:rPr>
                <w:rFonts w:ascii="微軟正黑體" w:eastAsia="微軟正黑體" w:hAnsi="微軟正黑體" w:hint="eastAsia"/>
                <w:spacing w:val="-10"/>
                <w:szCs w:val="24"/>
              </w:rPr>
              <w:t>其他運輸工具及其零件製造業</w:t>
            </w:r>
          </w:p>
        </w:tc>
      </w:tr>
      <w:tr w:rsidR="00E41858" w:rsidRPr="00605056" w14:paraId="7EC4AA63" w14:textId="77777777" w:rsidTr="00E41858">
        <w:tc>
          <w:tcPr>
            <w:tcW w:w="709" w:type="dxa"/>
            <w:shd w:val="clear" w:color="auto" w:fill="auto"/>
          </w:tcPr>
          <w:p w14:paraId="096CDAEE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0179495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聯網電視產品及應用服務</w:t>
            </w:r>
          </w:p>
        </w:tc>
        <w:tc>
          <w:tcPr>
            <w:tcW w:w="5216" w:type="dxa"/>
            <w:shd w:val="clear" w:color="auto" w:fill="auto"/>
          </w:tcPr>
          <w:p w14:paraId="13ABF3D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46B66588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2641液晶面板及</w:t>
            </w:r>
            <w:proofErr w:type="gramStart"/>
            <w:r w:rsidRPr="00605056">
              <w:rPr>
                <w:rFonts w:ascii="微軟正黑體" w:eastAsia="微軟正黑體" w:hAnsi="微軟正黑體" w:hint="eastAsia"/>
                <w:szCs w:val="24"/>
              </w:rPr>
              <w:t>其組件</w:t>
            </w:r>
            <w:proofErr w:type="gramEnd"/>
            <w:r w:rsidRPr="00605056">
              <w:rPr>
                <w:rFonts w:ascii="微軟正黑體" w:eastAsia="微軟正黑體" w:hAnsi="微軟正黑體" w:hint="eastAsia"/>
                <w:szCs w:val="24"/>
              </w:rPr>
              <w:t>製造業</w:t>
            </w:r>
          </w:p>
          <w:p w14:paraId="5E61F7D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 xml:space="preserve">2649其他光電材料及元件製造業 </w:t>
            </w:r>
          </w:p>
          <w:p w14:paraId="6F6E8A83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2730視聽電子產品製造業</w:t>
            </w:r>
          </w:p>
        </w:tc>
      </w:tr>
      <w:tr w:rsidR="00E41858" w:rsidRPr="00605056" w14:paraId="7C2A02DB" w14:textId="77777777" w:rsidTr="00E41858">
        <w:tc>
          <w:tcPr>
            <w:tcW w:w="709" w:type="dxa"/>
            <w:shd w:val="clear" w:color="auto" w:fill="auto"/>
          </w:tcPr>
          <w:p w14:paraId="59C9A042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715ED67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新世代寬頻通訊產品及應用服務</w:t>
            </w:r>
          </w:p>
        </w:tc>
        <w:tc>
          <w:tcPr>
            <w:tcW w:w="5216" w:type="dxa"/>
            <w:shd w:val="clear" w:color="auto" w:fill="auto"/>
          </w:tcPr>
          <w:p w14:paraId="0F4151B3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272</w:t>
            </w:r>
            <w:r w:rsidRPr="00605056">
              <w:rPr>
                <w:rFonts w:ascii="微軟正黑體" w:eastAsia="微軟正黑體" w:hAnsi="微軟正黑體" w:hint="eastAsia"/>
                <w:szCs w:val="24"/>
              </w:rPr>
              <w:t>通訊傳播設備製造業</w:t>
            </w:r>
          </w:p>
          <w:p w14:paraId="57E80C3A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(多為2729其他通訊傳播設備製造業，但其中有一項為WiMAX/Cellular雙模手機</w:t>
            </w:r>
            <w:proofErr w:type="gramStart"/>
            <w:r w:rsidRPr="00605056">
              <w:rPr>
                <w:rFonts w:ascii="微軟正黑體" w:eastAsia="微軟正黑體" w:hAnsi="微軟正黑體"/>
                <w:szCs w:val="24"/>
              </w:rPr>
              <w:t>—</w:t>
            </w:r>
            <w:proofErr w:type="gramEnd"/>
            <w:r w:rsidRPr="00605056">
              <w:rPr>
                <w:rFonts w:ascii="微軟正黑體" w:eastAsia="微軟正黑體" w:hAnsi="微軟正黑體" w:hint="eastAsia"/>
                <w:szCs w:val="24"/>
              </w:rPr>
              <w:t>應屬2721電話及手機製造業)</w:t>
            </w:r>
          </w:p>
        </w:tc>
      </w:tr>
      <w:tr w:rsidR="00E41858" w:rsidRPr="00605056" w14:paraId="6A00141C" w14:textId="77777777" w:rsidTr="00E41858">
        <w:tc>
          <w:tcPr>
            <w:tcW w:w="709" w:type="dxa"/>
            <w:shd w:val="clear" w:color="auto" w:fill="auto"/>
          </w:tcPr>
          <w:p w14:paraId="72BC7A13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43A4281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智慧型手持產品及其應用服務</w:t>
            </w:r>
          </w:p>
        </w:tc>
        <w:tc>
          <w:tcPr>
            <w:tcW w:w="5216" w:type="dxa"/>
            <w:shd w:val="clear" w:color="auto" w:fill="auto"/>
          </w:tcPr>
          <w:p w14:paraId="0BA381B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1AB4A852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271  電腦製造業</w:t>
            </w:r>
          </w:p>
          <w:p w14:paraId="1FAA0CE9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2721電話及手機製造業</w:t>
            </w:r>
          </w:p>
          <w:p w14:paraId="59BE062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277  光學儀器及設備製造業</w:t>
            </w:r>
          </w:p>
        </w:tc>
      </w:tr>
      <w:tr w:rsidR="00E41858" w:rsidRPr="00605056" w14:paraId="58C17E24" w14:textId="77777777" w:rsidTr="00E41858">
        <w:tc>
          <w:tcPr>
            <w:tcW w:w="709" w:type="dxa"/>
            <w:shd w:val="clear" w:color="auto" w:fill="auto"/>
          </w:tcPr>
          <w:p w14:paraId="20106A9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0D6C6DA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LED照明系統與應用服</w:t>
            </w:r>
            <w:r w:rsidRPr="00605056">
              <w:rPr>
                <w:rFonts w:ascii="微軟正黑體" w:eastAsia="微軟正黑體" w:hAnsi="微軟正黑體"/>
                <w:szCs w:val="24"/>
              </w:rPr>
              <w:lastRenderedPageBreak/>
              <w:t>務</w:t>
            </w:r>
          </w:p>
        </w:tc>
        <w:tc>
          <w:tcPr>
            <w:tcW w:w="5216" w:type="dxa"/>
            <w:shd w:val="clear" w:color="auto" w:fill="auto"/>
          </w:tcPr>
          <w:p w14:paraId="3A976D6A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lastRenderedPageBreak/>
              <w:t>2</w:t>
            </w:r>
            <w:r w:rsidRPr="00605056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605056">
              <w:rPr>
                <w:rFonts w:ascii="微軟正黑體" w:eastAsia="微軟正黑體" w:hAnsi="微軟正黑體"/>
                <w:szCs w:val="24"/>
              </w:rPr>
              <w:t>4</w:t>
            </w:r>
            <w:r w:rsidRPr="00605056">
              <w:rPr>
                <w:rFonts w:ascii="微軟正黑體" w:eastAsia="微軟正黑體" w:hAnsi="微軟正黑體" w:hint="eastAsia"/>
                <w:szCs w:val="24"/>
              </w:rPr>
              <w:t xml:space="preserve">  照明器具製造業</w:t>
            </w:r>
          </w:p>
          <w:p w14:paraId="5E4D5BA4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lastRenderedPageBreak/>
              <w:t>2642發光二極體製造業</w:t>
            </w:r>
          </w:p>
        </w:tc>
      </w:tr>
      <w:tr w:rsidR="00E41858" w:rsidRPr="00605056" w14:paraId="52AD488A" w14:textId="77777777" w:rsidTr="00E41858">
        <w:tc>
          <w:tcPr>
            <w:tcW w:w="709" w:type="dxa"/>
            <w:shd w:val="clear" w:color="auto" w:fill="auto"/>
          </w:tcPr>
          <w:p w14:paraId="12110392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lastRenderedPageBreak/>
              <w:t>11</w:t>
            </w:r>
          </w:p>
        </w:tc>
        <w:tc>
          <w:tcPr>
            <w:tcW w:w="2693" w:type="dxa"/>
            <w:shd w:val="clear" w:color="auto" w:fill="auto"/>
          </w:tcPr>
          <w:p w14:paraId="31C2BF5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太陽光電產品及應用服務</w:t>
            </w:r>
          </w:p>
        </w:tc>
        <w:tc>
          <w:tcPr>
            <w:tcW w:w="5216" w:type="dxa"/>
            <w:shd w:val="clear" w:color="auto" w:fill="auto"/>
          </w:tcPr>
          <w:p w14:paraId="1734765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2643</w:t>
            </w:r>
            <w:r w:rsidRPr="00605056">
              <w:rPr>
                <w:rFonts w:ascii="微軟正黑體" w:eastAsia="微軟正黑體" w:hAnsi="微軟正黑體" w:hint="eastAsia"/>
                <w:szCs w:val="24"/>
              </w:rPr>
              <w:t>太陽能電池製造業</w:t>
            </w:r>
          </w:p>
        </w:tc>
      </w:tr>
      <w:tr w:rsidR="00E41858" w:rsidRPr="00605056" w14:paraId="1B1012F0" w14:textId="77777777" w:rsidTr="00E41858">
        <w:tc>
          <w:tcPr>
            <w:tcW w:w="709" w:type="dxa"/>
            <w:shd w:val="clear" w:color="auto" w:fill="auto"/>
          </w:tcPr>
          <w:p w14:paraId="5CC4BAE9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0243624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szCs w:val="24"/>
              </w:rPr>
              <w:t>雲端運算產品及應用服務</w:t>
            </w:r>
          </w:p>
        </w:tc>
        <w:tc>
          <w:tcPr>
            <w:tcW w:w="5216" w:type="dxa"/>
            <w:shd w:val="clear" w:color="auto" w:fill="auto"/>
          </w:tcPr>
          <w:p w14:paraId="6E1CF069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673FF111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trike/>
                <w:color w:val="FF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271 電腦製造業</w:t>
            </w:r>
          </w:p>
        </w:tc>
      </w:tr>
      <w:tr w:rsidR="00E41858" w:rsidRPr="00605056" w14:paraId="6D46B427" w14:textId="77777777" w:rsidTr="00E41858">
        <w:tc>
          <w:tcPr>
            <w:tcW w:w="709" w:type="dxa"/>
            <w:shd w:val="clear" w:color="auto" w:fill="auto"/>
          </w:tcPr>
          <w:p w14:paraId="52B33B08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40EC847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bCs/>
                <w:szCs w:val="24"/>
              </w:rPr>
              <w:t>高階醫療器材</w:t>
            </w:r>
          </w:p>
        </w:tc>
        <w:tc>
          <w:tcPr>
            <w:tcW w:w="5216" w:type="dxa"/>
            <w:shd w:val="clear" w:color="auto" w:fill="auto"/>
          </w:tcPr>
          <w:p w14:paraId="4CA1910E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2760輻射及電子醫學設備製造業</w:t>
            </w:r>
          </w:p>
        </w:tc>
      </w:tr>
      <w:tr w:rsidR="00E41858" w:rsidRPr="00605056" w14:paraId="2120A028" w14:textId="77777777" w:rsidTr="00E41858">
        <w:trPr>
          <w:trHeight w:val="494"/>
        </w:trPr>
        <w:tc>
          <w:tcPr>
            <w:tcW w:w="709" w:type="dxa"/>
            <w:shd w:val="clear" w:color="auto" w:fill="auto"/>
          </w:tcPr>
          <w:p w14:paraId="4C7A35DA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0770C57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/>
                <w:bCs/>
                <w:szCs w:val="24"/>
              </w:rPr>
              <w:t>利基型藥品</w:t>
            </w:r>
          </w:p>
        </w:tc>
        <w:tc>
          <w:tcPr>
            <w:tcW w:w="5216" w:type="dxa"/>
            <w:shd w:val="clear" w:color="auto" w:fill="auto"/>
          </w:tcPr>
          <w:p w14:paraId="0C5319F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200藥品及</w:t>
            </w:r>
            <w:proofErr w:type="gramStart"/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醫</w:t>
            </w:r>
            <w:proofErr w:type="gramEnd"/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用化學製品製造業</w:t>
            </w:r>
          </w:p>
          <w:p w14:paraId="6B185FD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(2001原料藥製造業、2002西藥製造業、2003生物藥品製造業、2005體外檢驗試劑製造業)</w:t>
            </w:r>
          </w:p>
        </w:tc>
      </w:tr>
      <w:tr w:rsidR="00E41858" w:rsidRPr="00605056" w14:paraId="4DDDF637" w14:textId="77777777" w:rsidTr="00E41858">
        <w:tc>
          <w:tcPr>
            <w:tcW w:w="709" w:type="dxa"/>
            <w:shd w:val="clear" w:color="auto" w:fill="auto"/>
          </w:tcPr>
          <w:p w14:paraId="7BACE017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21DD016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產業用紡織品及其應用服務</w:t>
            </w:r>
          </w:p>
        </w:tc>
        <w:tc>
          <w:tcPr>
            <w:tcW w:w="5216" w:type="dxa"/>
            <w:shd w:val="clear" w:color="auto" w:fill="auto"/>
          </w:tcPr>
          <w:p w14:paraId="3CC4AE0A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1130 不織布業</w:t>
            </w:r>
          </w:p>
          <w:p w14:paraId="60558B8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112  織布業</w:t>
            </w:r>
          </w:p>
          <w:p w14:paraId="4CD58D7C" w14:textId="77777777" w:rsidR="00E41858" w:rsidRPr="00605056" w:rsidRDefault="00E41858" w:rsidP="000258B8">
            <w:pPr>
              <w:spacing w:line="440" w:lineRule="exact"/>
              <w:ind w:left="600" w:hangingChars="250" w:hanging="60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1159 其他紡織品製造業(濾布、濾網)</w:t>
            </w:r>
          </w:p>
          <w:p w14:paraId="37A19BA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bCs/>
                <w:szCs w:val="24"/>
              </w:rPr>
              <w:t>1850 人造纖維製造業</w:t>
            </w:r>
          </w:p>
        </w:tc>
      </w:tr>
      <w:tr w:rsidR="00E41858" w:rsidRPr="00605056" w14:paraId="3B7C7C68" w14:textId="77777777" w:rsidTr="00E41858">
        <w:trPr>
          <w:trHeight w:val="381"/>
        </w:trPr>
        <w:tc>
          <w:tcPr>
            <w:tcW w:w="709" w:type="dxa"/>
            <w:shd w:val="clear" w:color="auto" w:fill="auto"/>
          </w:tcPr>
          <w:p w14:paraId="573B88E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2200C9F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trike/>
                <w:szCs w:val="24"/>
              </w:rPr>
            </w:pPr>
            <w:proofErr w:type="gramStart"/>
            <w:r w:rsidRPr="00605056">
              <w:rPr>
                <w:rFonts w:ascii="微軟正黑體" w:eastAsia="微軟正黑體" w:hAnsi="微軟正黑體" w:hint="eastAsia"/>
                <w:szCs w:val="24"/>
              </w:rPr>
              <w:t>氫能與</w:t>
            </w:r>
            <w:proofErr w:type="gramEnd"/>
            <w:r w:rsidRPr="00605056">
              <w:rPr>
                <w:rFonts w:ascii="微軟正黑體" w:eastAsia="微軟正黑體" w:hAnsi="微軟正黑體" w:hint="eastAsia"/>
                <w:szCs w:val="24"/>
              </w:rPr>
              <w:t>燃料電池</w:t>
            </w:r>
          </w:p>
        </w:tc>
        <w:tc>
          <w:tcPr>
            <w:tcW w:w="5216" w:type="dxa"/>
            <w:shd w:val="clear" w:color="auto" w:fill="auto"/>
          </w:tcPr>
          <w:p w14:paraId="135192E1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trike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2890其他電力設備製造業(燃料電池)</w:t>
            </w:r>
          </w:p>
        </w:tc>
      </w:tr>
      <w:tr w:rsidR="00E41858" w:rsidRPr="00605056" w14:paraId="1E63F3F1" w14:textId="77777777" w:rsidTr="00E41858">
        <w:trPr>
          <w:trHeight w:val="760"/>
        </w:trPr>
        <w:tc>
          <w:tcPr>
            <w:tcW w:w="709" w:type="dxa"/>
            <w:shd w:val="clear" w:color="auto" w:fill="auto"/>
          </w:tcPr>
          <w:p w14:paraId="31BD843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4E86E58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能源資通訊</w:t>
            </w:r>
          </w:p>
        </w:tc>
        <w:tc>
          <w:tcPr>
            <w:tcW w:w="5216" w:type="dxa"/>
            <w:shd w:val="clear" w:color="auto" w:fill="auto"/>
          </w:tcPr>
          <w:p w14:paraId="28219124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285  家用電器製造業</w:t>
            </w:r>
          </w:p>
          <w:p w14:paraId="2AC9E506" w14:textId="77777777" w:rsidR="00E41858" w:rsidRPr="00605056" w:rsidRDefault="00E41858" w:rsidP="000258B8">
            <w:pPr>
              <w:spacing w:line="440" w:lineRule="exact"/>
              <w:ind w:left="674" w:hangingChars="281" w:hanging="67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 xml:space="preserve">2751 量測導航及控制器設備製造業 </w:t>
            </w:r>
          </w:p>
        </w:tc>
      </w:tr>
      <w:tr w:rsidR="00E41858" w:rsidRPr="00605056" w14:paraId="2BC85376" w14:textId="77777777" w:rsidTr="00E41858">
        <w:tc>
          <w:tcPr>
            <w:tcW w:w="709" w:type="dxa"/>
            <w:shd w:val="clear" w:color="auto" w:fill="auto"/>
          </w:tcPr>
          <w:p w14:paraId="7B923971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33B29C89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MIT品牌服飾</w:t>
            </w:r>
          </w:p>
        </w:tc>
        <w:tc>
          <w:tcPr>
            <w:tcW w:w="5216" w:type="dxa"/>
            <w:shd w:val="clear" w:color="auto" w:fill="auto"/>
          </w:tcPr>
          <w:p w14:paraId="662C109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121梭織成衣製造業</w:t>
            </w:r>
          </w:p>
          <w:p w14:paraId="4385E62C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122針織成衣製造業</w:t>
            </w:r>
          </w:p>
          <w:p w14:paraId="02DBF3FD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1231襪</w:t>
            </w:r>
            <w:proofErr w:type="gramEnd"/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類製造業</w:t>
            </w:r>
          </w:p>
          <w:p w14:paraId="4B2BE7C2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1232紡織手套製造業</w:t>
            </w:r>
          </w:p>
          <w:p w14:paraId="6E66D5D1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1233紡織帽製造業</w:t>
            </w:r>
          </w:p>
          <w:p w14:paraId="7A25A9A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1239其他服飾品製造業（限圍巾）</w:t>
            </w:r>
          </w:p>
          <w:p w14:paraId="11EB9B09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1302鞋類製造業（限成品）</w:t>
            </w:r>
          </w:p>
          <w:p w14:paraId="16A75082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1303行李箱及手提袋製造業（限成品）</w:t>
            </w:r>
          </w:p>
        </w:tc>
      </w:tr>
      <w:tr w:rsidR="00E41858" w:rsidRPr="00605056" w14:paraId="2C92F4DD" w14:textId="77777777" w:rsidTr="00E41858">
        <w:tc>
          <w:tcPr>
            <w:tcW w:w="709" w:type="dxa"/>
            <w:shd w:val="clear" w:color="auto" w:fill="auto"/>
          </w:tcPr>
          <w:p w14:paraId="3F368D3D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2AD53FE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/>
                <w:color w:val="000000"/>
                <w:szCs w:val="24"/>
              </w:rPr>
              <w:t>生質塑膠產品</w:t>
            </w:r>
          </w:p>
        </w:tc>
        <w:tc>
          <w:tcPr>
            <w:tcW w:w="5216" w:type="dxa"/>
            <w:shd w:val="clear" w:color="auto" w:fill="auto"/>
          </w:tcPr>
          <w:p w14:paraId="5201DD48" w14:textId="77777777" w:rsidR="00E41858" w:rsidRPr="00605056" w:rsidRDefault="00E41858" w:rsidP="000258B8">
            <w:pPr>
              <w:spacing w:line="440" w:lineRule="exact"/>
              <w:ind w:left="600" w:rightChars="-72" w:right="-173" w:hangingChars="250" w:hanging="60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220塑膠製品製造業中使用生質塑膠材料製造生質食品容器</w:t>
            </w:r>
          </w:p>
        </w:tc>
      </w:tr>
      <w:tr w:rsidR="00E41858" w:rsidRPr="00605056" w14:paraId="60FAB9A0" w14:textId="77777777" w:rsidTr="00E41858">
        <w:tc>
          <w:tcPr>
            <w:tcW w:w="709" w:type="dxa"/>
            <w:shd w:val="clear" w:color="auto" w:fill="auto"/>
          </w:tcPr>
          <w:p w14:paraId="1CC896BB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564B529B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智慧小家電</w:t>
            </w:r>
          </w:p>
        </w:tc>
        <w:tc>
          <w:tcPr>
            <w:tcW w:w="5216" w:type="dxa"/>
            <w:shd w:val="clear" w:color="auto" w:fill="auto"/>
          </w:tcPr>
          <w:p w14:paraId="22ACF9E0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285  家用電器製造業</w:t>
            </w:r>
          </w:p>
        </w:tc>
      </w:tr>
      <w:tr w:rsidR="00E41858" w:rsidRPr="00605056" w14:paraId="322A3992" w14:textId="77777777" w:rsidTr="00E41858">
        <w:tc>
          <w:tcPr>
            <w:tcW w:w="709" w:type="dxa"/>
            <w:shd w:val="clear" w:color="auto" w:fill="auto"/>
          </w:tcPr>
          <w:p w14:paraId="0DB01242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36B92D5E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數位手工具</w:t>
            </w:r>
          </w:p>
        </w:tc>
        <w:tc>
          <w:tcPr>
            <w:tcW w:w="5216" w:type="dxa"/>
            <w:shd w:val="clear" w:color="auto" w:fill="auto"/>
          </w:tcPr>
          <w:p w14:paraId="790E3C3F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2938 動力手工具製造業</w:t>
            </w:r>
          </w:p>
        </w:tc>
      </w:tr>
      <w:tr w:rsidR="00E41858" w:rsidRPr="00605056" w14:paraId="652F1EB1" w14:textId="77777777" w:rsidTr="00E41858">
        <w:tc>
          <w:tcPr>
            <w:tcW w:w="709" w:type="dxa"/>
            <w:shd w:val="clear" w:color="auto" w:fill="auto"/>
          </w:tcPr>
          <w:p w14:paraId="18EF531C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30540E13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精微金屬製品</w:t>
            </w:r>
          </w:p>
          <w:p w14:paraId="23ACAB85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安全智慧衛浴器材</w:t>
            </w:r>
          </w:p>
        </w:tc>
        <w:tc>
          <w:tcPr>
            <w:tcW w:w="5216" w:type="dxa"/>
            <w:shd w:val="clear" w:color="auto" w:fill="auto"/>
          </w:tcPr>
          <w:p w14:paraId="323CE522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 xml:space="preserve">25   金屬製品製造業 </w:t>
            </w:r>
          </w:p>
        </w:tc>
      </w:tr>
      <w:tr w:rsidR="00E41858" w:rsidRPr="00605056" w14:paraId="3BE64690" w14:textId="77777777" w:rsidTr="00E41858">
        <w:tc>
          <w:tcPr>
            <w:tcW w:w="709" w:type="dxa"/>
            <w:shd w:val="clear" w:color="auto" w:fill="auto"/>
          </w:tcPr>
          <w:p w14:paraId="5BB9683B" w14:textId="77777777" w:rsidR="00E41858" w:rsidRPr="00605056" w:rsidRDefault="00E41858" w:rsidP="000258B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lastRenderedPageBreak/>
              <w:t>23</w:t>
            </w:r>
          </w:p>
        </w:tc>
        <w:tc>
          <w:tcPr>
            <w:tcW w:w="2693" w:type="dxa"/>
            <w:shd w:val="clear" w:color="auto" w:fill="auto"/>
          </w:tcPr>
          <w:p w14:paraId="72E089E7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color w:val="000000"/>
                <w:szCs w:val="24"/>
              </w:rPr>
              <w:t>特色烘焙食品</w:t>
            </w:r>
          </w:p>
        </w:tc>
        <w:tc>
          <w:tcPr>
            <w:tcW w:w="5216" w:type="dxa"/>
            <w:shd w:val="clear" w:color="auto" w:fill="auto"/>
          </w:tcPr>
          <w:p w14:paraId="2B176765" w14:textId="77777777" w:rsidR="00E41858" w:rsidRPr="00605056" w:rsidRDefault="00E41858" w:rsidP="000258B8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05056">
              <w:rPr>
                <w:rFonts w:ascii="微軟正黑體" w:eastAsia="微軟正黑體" w:hAnsi="微軟正黑體" w:hint="eastAsia"/>
                <w:szCs w:val="24"/>
              </w:rPr>
              <w:t>0891 烘焙</w:t>
            </w:r>
            <w:proofErr w:type="gramStart"/>
            <w:r w:rsidRPr="00605056">
              <w:rPr>
                <w:rFonts w:ascii="微軟正黑體" w:eastAsia="微軟正黑體" w:hAnsi="微軟正黑體" w:hint="eastAsia"/>
                <w:szCs w:val="24"/>
              </w:rPr>
              <w:t>炊</w:t>
            </w:r>
            <w:proofErr w:type="gramEnd"/>
            <w:r w:rsidRPr="00605056">
              <w:rPr>
                <w:rFonts w:ascii="微軟正黑體" w:eastAsia="微軟正黑體" w:hAnsi="微軟正黑體" w:hint="eastAsia"/>
                <w:szCs w:val="24"/>
              </w:rPr>
              <w:t>食品製造業</w:t>
            </w:r>
          </w:p>
        </w:tc>
      </w:tr>
    </w:tbl>
    <w:p w14:paraId="0C2DD6FC" w14:textId="77777777" w:rsidR="00BE0326" w:rsidRPr="00605056" w:rsidRDefault="00BE0326" w:rsidP="00BE0326">
      <w:pPr>
        <w:rPr>
          <w:rFonts w:ascii="微軟正黑體" w:eastAsia="微軟正黑體" w:hAnsi="微軟正黑體"/>
        </w:rPr>
      </w:pPr>
    </w:p>
    <w:p w14:paraId="559D3EC3" w14:textId="4DE60103" w:rsidR="002E75DA" w:rsidRPr="00605056" w:rsidRDefault="002E75DA" w:rsidP="002E75DA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8" w:name="_Toc13158531"/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087396">
        <w:rPr>
          <w:rFonts w:ascii="微軟正黑體" w:eastAsia="微軟正黑體" w:hAnsi="微軟正黑體" w:hint="eastAsia"/>
          <w:bCs w:val="0"/>
          <w:sz w:val="28"/>
          <w:szCs w:val="28"/>
        </w:rPr>
        <w:t>4</w:t>
      </w:r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：</w:t>
      </w:r>
      <w:r w:rsidR="002A5A7E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何謂國際</w:t>
      </w:r>
      <w:proofErr w:type="gramStart"/>
      <w:r w:rsidR="002A5A7E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供應鏈居於</w:t>
      </w:r>
      <w:proofErr w:type="gramEnd"/>
      <w:r w:rsidR="002A5A7E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關鍵地位?</w:t>
      </w:r>
      <w:r w:rsidR="001203EC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8"/>
    </w:p>
    <w:p w14:paraId="0C7DA80B" w14:textId="77777777" w:rsidR="001240A1" w:rsidRPr="00605056" w:rsidRDefault="00DB623F" w:rsidP="00DB623F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05056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1240A1" w:rsidRPr="00605056">
        <w:rPr>
          <w:rFonts w:ascii="微軟正黑體" w:eastAsia="微軟正黑體" w:hAnsi="微軟正黑體" w:hint="eastAsia"/>
          <w:sz w:val="28"/>
          <w:szCs w:val="28"/>
        </w:rPr>
        <w:t>最近1年國際供應鏈重要環節前五大供應商或國際市場占有率達10%以上。</w:t>
      </w:r>
    </w:p>
    <w:p w14:paraId="4BA4625F" w14:textId="20A0B5A0" w:rsidR="002A5A7E" w:rsidRPr="00605056" w:rsidRDefault="002A5A7E" w:rsidP="00170A7F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9" w:name="_Toc13158532"/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087396">
        <w:rPr>
          <w:rFonts w:ascii="微軟正黑體" w:eastAsia="微軟正黑體" w:hAnsi="微軟正黑體" w:hint="eastAsia"/>
          <w:bCs w:val="0"/>
          <w:sz w:val="28"/>
          <w:szCs w:val="28"/>
        </w:rPr>
        <w:t>5</w:t>
      </w:r>
      <w:r w:rsidRPr="00605056">
        <w:rPr>
          <w:rFonts w:ascii="微軟正黑體" w:eastAsia="微軟正黑體" w:hAnsi="微軟正黑體" w:hint="eastAsia"/>
          <w:bCs w:val="0"/>
          <w:sz w:val="28"/>
          <w:szCs w:val="28"/>
        </w:rPr>
        <w:t>：符合自有品牌國際行銷之情況?</w:t>
      </w:r>
      <w:r w:rsidR="001203EC" w:rsidRPr="00605056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9"/>
    </w:p>
    <w:p w14:paraId="7C5EAF13" w14:textId="77777777" w:rsidR="001240A1" w:rsidRDefault="001240A1" w:rsidP="00542668">
      <w:pPr>
        <w:spacing w:afterLines="100" w:after="36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05056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1341B3" w:rsidRPr="00605056">
        <w:rPr>
          <w:rFonts w:ascii="微軟正黑體" w:eastAsia="微軟正黑體" w:hAnsi="微軟正黑體" w:hint="eastAsia"/>
          <w:sz w:val="28"/>
          <w:szCs w:val="28"/>
        </w:rPr>
        <w:t>最近2年海外出貨占產量50%以上。</w:t>
      </w:r>
    </w:p>
    <w:p w14:paraId="576F6091" w14:textId="77777777" w:rsidR="008B0B0E" w:rsidRDefault="008B0B0E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>
        <w:rPr>
          <w:rFonts w:ascii="微軟正黑體" w:eastAsia="微軟正黑體" w:hAnsi="微軟正黑體"/>
          <w:sz w:val="30"/>
          <w:szCs w:val="30"/>
        </w:rPr>
        <w:br w:type="page"/>
      </w:r>
    </w:p>
    <w:p w14:paraId="66D86D78" w14:textId="77777777" w:rsidR="002D22C7" w:rsidRPr="00605056" w:rsidRDefault="002D22C7" w:rsidP="002D22C7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10" w:name="_Toc13158533"/>
      <w:r>
        <w:rPr>
          <w:rFonts w:ascii="微軟正黑體" w:eastAsia="微軟正黑體" w:hAnsi="微軟正黑體" w:hint="eastAsia"/>
          <w:sz w:val="30"/>
          <w:szCs w:val="30"/>
        </w:rPr>
        <w:lastRenderedPageBreak/>
        <w:t>三、</w:t>
      </w:r>
      <w:r w:rsidRPr="00605056">
        <w:rPr>
          <w:rFonts w:ascii="微軟正黑體" w:eastAsia="微軟正黑體" w:hAnsi="微軟正黑體" w:hint="eastAsia"/>
          <w:sz w:val="30"/>
          <w:szCs w:val="30"/>
        </w:rPr>
        <w:t>特定資格類</w:t>
      </w:r>
      <w:r>
        <w:rPr>
          <w:rFonts w:ascii="微軟正黑體" w:eastAsia="微軟正黑體" w:hAnsi="微軟正黑體" w:hint="eastAsia"/>
          <w:sz w:val="30"/>
          <w:szCs w:val="30"/>
        </w:rPr>
        <w:t>-服務業</w:t>
      </w:r>
      <w:bookmarkEnd w:id="10"/>
    </w:p>
    <w:p w14:paraId="17EC89C9" w14:textId="77777777" w:rsidR="00D03724" w:rsidRDefault="00D03724" w:rsidP="00D03724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1" w:name="_Toc13146230"/>
      <w:bookmarkStart w:id="12" w:name="_Toc13158534"/>
      <w:r>
        <w:rPr>
          <w:rFonts w:ascii="微軟正黑體" w:eastAsia="微軟正黑體" w:hAnsi="微軟正黑體" w:hint="eastAsia"/>
          <w:bCs w:val="0"/>
          <w:sz w:val="28"/>
          <w:szCs w:val="28"/>
        </w:rPr>
        <w:t>Q1：哪些服務業可以來申請本方案？</w:t>
      </w:r>
      <w:bookmarkEnd w:id="11"/>
      <w:r>
        <w:rPr>
          <w:rFonts w:ascii="微軟正黑體" w:eastAsia="微軟正黑體" w:hAnsi="微軟正黑體" w:hint="eastAsia"/>
          <w:sz w:val="30"/>
          <w:szCs w:val="30"/>
        </w:rPr>
        <w:t>(商業司)</w:t>
      </w:r>
      <w:bookmarkEnd w:id="12"/>
    </w:p>
    <w:p w14:paraId="686E9ACA" w14:textId="77777777" w:rsidR="00D03724" w:rsidRPr="00605056" w:rsidRDefault="00D03724" w:rsidP="00D03724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4F6633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6628023B" w14:textId="77777777" w:rsidR="00082B72" w:rsidRPr="00082B72" w:rsidRDefault="00082B72" w:rsidP="00082B72">
      <w:pPr>
        <w:spacing w:afterLines="20" w:after="72" w:line="440" w:lineRule="exact"/>
        <w:ind w:leftChars="177" w:left="42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與國家重點產業政策相關之服務業，例如：批發業；零售業；倉儲業；住宿業(不含民宿及露營區)；餐飲業；資訊服務業；運動、娛樂及休閒服務業等。</w:t>
      </w:r>
    </w:p>
    <w:p w14:paraId="5A2E4339" w14:textId="77777777" w:rsidR="00D03724" w:rsidRPr="00082B72" w:rsidRDefault="00D03724" w:rsidP="00D03724"/>
    <w:p w14:paraId="3BD5C48A" w14:textId="77777777" w:rsidR="00D03724" w:rsidRDefault="00D03724" w:rsidP="00D03724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3" w:name="_Toc13146231"/>
      <w:bookmarkStart w:id="14" w:name="_Toc13158535"/>
      <w:r>
        <w:rPr>
          <w:rFonts w:ascii="微軟正黑體" w:eastAsia="微軟正黑體" w:hAnsi="微軟正黑體" w:hint="eastAsia"/>
          <w:bCs w:val="0"/>
          <w:sz w:val="28"/>
          <w:szCs w:val="28"/>
        </w:rPr>
        <w:t>Q2：</w:t>
      </w:r>
      <w:r w:rsidRPr="000C1EC8">
        <w:rPr>
          <w:rFonts w:ascii="微軟正黑體" w:eastAsia="微軟正黑體" w:hAnsi="微軟正黑體" w:hint="eastAsia"/>
          <w:bCs w:val="0"/>
          <w:sz w:val="28"/>
          <w:szCs w:val="28"/>
        </w:rPr>
        <w:t>何謂服務能量具備智慧技術元素或智慧化功能</w:t>
      </w:r>
      <w:r>
        <w:rPr>
          <w:rFonts w:ascii="微軟正黑體" w:eastAsia="微軟正黑體" w:hAnsi="微軟正黑體" w:hint="eastAsia"/>
          <w:bCs w:val="0"/>
          <w:sz w:val="28"/>
          <w:szCs w:val="28"/>
        </w:rPr>
        <w:t>？</w:t>
      </w:r>
      <w:bookmarkEnd w:id="13"/>
      <w:r>
        <w:rPr>
          <w:rFonts w:ascii="微軟正黑體" w:eastAsia="微軟正黑體" w:hAnsi="微軟正黑體" w:hint="eastAsia"/>
          <w:sz w:val="30"/>
          <w:szCs w:val="30"/>
        </w:rPr>
        <w:t>(商業司)</w:t>
      </w:r>
      <w:bookmarkEnd w:id="14"/>
    </w:p>
    <w:p w14:paraId="12E1AC04" w14:textId="77777777" w:rsidR="00D03724" w:rsidRPr="00605056" w:rsidRDefault="00D03724" w:rsidP="00D03724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4F6633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103B236" w14:textId="77777777" w:rsidR="00082B72" w:rsidRPr="00082B72" w:rsidRDefault="00082B72" w:rsidP="00082B72">
      <w:pPr>
        <w:pStyle w:val="a5"/>
        <w:numPr>
          <w:ilvl w:val="0"/>
          <w:numId w:val="13"/>
        </w:numPr>
        <w:spacing w:afterLines="20" w:after="72" w:line="44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智慧技術元素：</w:t>
      </w:r>
      <w:proofErr w:type="gramStart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係指巨量</w:t>
      </w:r>
      <w:proofErr w:type="gramEnd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資料、人工智慧、</w:t>
      </w:r>
      <w:proofErr w:type="gramStart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物聯網</w:t>
      </w:r>
      <w:proofErr w:type="gramEnd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、機器人、行動裝置、電子標籤、</w:t>
      </w:r>
      <w:proofErr w:type="gramStart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區塊鏈</w:t>
      </w:r>
      <w:proofErr w:type="gramEnd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、雲端管理平台、自動化技術、智慧辨識、精實管理、數位化管理、虛實</w:t>
      </w:r>
      <w:proofErr w:type="gramStart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整合或積層</w:t>
      </w:r>
      <w:proofErr w:type="gramEnd"/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製造等智慧技術元素。</w:t>
      </w:r>
    </w:p>
    <w:p w14:paraId="7690CCAC" w14:textId="1799C840" w:rsidR="00D03724" w:rsidRPr="00082B72" w:rsidRDefault="00082B72" w:rsidP="00082B72">
      <w:pPr>
        <w:pStyle w:val="a5"/>
        <w:numPr>
          <w:ilvl w:val="0"/>
          <w:numId w:val="13"/>
        </w:numPr>
        <w:spacing w:afterLines="20" w:after="72" w:line="44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82B7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智慧化功能：係指將上述智慧技術元素運用於企業生產、行銷、總部營運、財務、門市顧客服務或物流作業等相關管理功能。</w:t>
      </w:r>
    </w:p>
    <w:p w14:paraId="2C08DDAB" w14:textId="77777777" w:rsidR="00D03724" w:rsidRPr="000C1EC8" w:rsidRDefault="00D03724" w:rsidP="00D03724"/>
    <w:p w14:paraId="6B2CB446" w14:textId="640550E7" w:rsidR="00D03724" w:rsidRDefault="00D03724" w:rsidP="00D03724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5" w:name="_Toc13146232"/>
      <w:bookmarkStart w:id="16" w:name="_Toc13158536"/>
      <w:r>
        <w:rPr>
          <w:rFonts w:ascii="微軟正黑體" w:eastAsia="微軟正黑體" w:hAnsi="微軟正黑體" w:hint="eastAsia"/>
          <w:bCs w:val="0"/>
          <w:sz w:val="28"/>
          <w:szCs w:val="28"/>
        </w:rPr>
        <w:t>Q3：</w:t>
      </w:r>
      <w:r w:rsidR="00253565" w:rsidRPr="00253565">
        <w:rPr>
          <w:rFonts w:ascii="微軟正黑體" w:eastAsia="微軟正黑體" w:hAnsi="微軟正黑體" w:hint="eastAsia"/>
          <w:bCs w:val="0"/>
          <w:sz w:val="28"/>
          <w:szCs w:val="28"/>
        </w:rPr>
        <w:t>哪些投資項目可能適用本方案之智慧技術</w:t>
      </w:r>
      <w:r>
        <w:rPr>
          <w:rFonts w:ascii="微軟正黑體" w:eastAsia="微軟正黑體" w:hAnsi="微軟正黑體" w:hint="eastAsia"/>
          <w:bCs w:val="0"/>
          <w:sz w:val="28"/>
          <w:szCs w:val="28"/>
        </w:rPr>
        <w:t>？</w:t>
      </w:r>
      <w:bookmarkEnd w:id="15"/>
      <w:r>
        <w:rPr>
          <w:rFonts w:ascii="微軟正黑體" w:eastAsia="微軟正黑體" w:hAnsi="微軟正黑體" w:hint="eastAsia"/>
          <w:sz w:val="30"/>
          <w:szCs w:val="30"/>
        </w:rPr>
        <w:t>(商業司)</w:t>
      </w:r>
      <w:bookmarkEnd w:id="16"/>
    </w:p>
    <w:p w14:paraId="2D0CC263" w14:textId="77777777" w:rsidR="00D03724" w:rsidRPr="00605056" w:rsidRDefault="00D03724" w:rsidP="00D03724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4F6633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605056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D8A2B9A" w14:textId="77777777" w:rsidR="00D03724" w:rsidRPr="00476374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連鎖加盟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：以連鎖型態經營，須擁有30家(含)以上店面掛相同品牌。</w:t>
      </w:r>
    </w:p>
    <w:p w14:paraId="18B79268" w14:textId="77777777" w:rsidR="00D03724" w:rsidRPr="00476374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倉儲業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：須為新(擴)建的智慧化物流中心。</w:t>
      </w:r>
    </w:p>
    <w:p w14:paraId="557862FE" w14:textId="77777777" w:rsidR="00D03724" w:rsidRPr="00476374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零售業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：須為新(擴)建的智慧化旗艦門市、百貨賣場。</w:t>
      </w:r>
    </w:p>
    <w:p w14:paraId="067A817E" w14:textId="75A52FFA" w:rsidR="00D03724" w:rsidRPr="00476374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餐飲業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</w:t>
      </w:r>
      <w:r w:rsidR="00253565" w:rsidRPr="00253565">
        <w:rPr>
          <w:rFonts w:ascii="微軟正黑體" w:eastAsia="微軟正黑體" w:hAnsi="微軟正黑體" w:hint="eastAsia"/>
          <w:sz w:val="28"/>
          <w:szCs w:val="28"/>
        </w:rPr>
        <w:t>須為新(擴)建的智慧化中央廚房，並提供門店營業所需。</w:t>
      </w:r>
    </w:p>
    <w:p w14:paraId="24C682BC" w14:textId="77777777" w:rsidR="00D03724" w:rsidRPr="00476374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旅宿業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：須為新(擴)建的智慧化旅館。</w:t>
      </w:r>
    </w:p>
    <w:p w14:paraId="6E923678" w14:textId="7402E9F5" w:rsidR="00F8705B" w:rsidRDefault="00D03724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sz w:val="28"/>
          <w:szCs w:val="28"/>
        </w:rPr>
      </w:pPr>
      <w:r w:rsidRPr="0010497F">
        <w:rPr>
          <w:rFonts w:ascii="微軟正黑體" w:eastAsia="微軟正黑體" w:hAnsi="微軟正黑體" w:hint="eastAsia"/>
          <w:b/>
          <w:sz w:val="28"/>
          <w:szCs w:val="28"/>
        </w:rPr>
        <w:t>運動、娛樂及休閒服務業</w:t>
      </w:r>
      <w:r w:rsidRPr="00476374">
        <w:rPr>
          <w:rFonts w:ascii="微軟正黑體" w:eastAsia="微軟正黑體" w:hAnsi="微軟正黑體" w:hint="eastAsia"/>
          <w:sz w:val="28"/>
          <w:szCs w:val="28"/>
        </w:rPr>
        <w:t>：須為新(擴)建的智慧化運動場館、遊樂園及主題樂園。</w:t>
      </w:r>
    </w:p>
    <w:p w14:paraId="1120824B" w14:textId="492C0AE9" w:rsidR="00253565" w:rsidRPr="00253565" w:rsidRDefault="00253565" w:rsidP="00253565">
      <w:pPr>
        <w:pStyle w:val="a5"/>
        <w:numPr>
          <w:ilvl w:val="0"/>
          <w:numId w:val="12"/>
        </w:numPr>
        <w:spacing w:afterLines="20" w:after="72" w:line="440" w:lineRule="exact"/>
        <w:ind w:leftChars="0" w:left="839" w:hanging="482"/>
        <w:rPr>
          <w:rFonts w:ascii="微軟正黑體" w:eastAsia="微軟正黑體" w:hAnsi="微軟正黑體"/>
          <w:bCs/>
          <w:sz w:val="28"/>
          <w:szCs w:val="28"/>
        </w:rPr>
      </w:pPr>
      <w:r w:rsidRPr="00253565">
        <w:rPr>
          <w:rFonts w:ascii="微軟正黑體" w:eastAsia="微軟正黑體" w:hAnsi="微軟正黑體" w:hint="eastAsia"/>
          <w:b/>
          <w:sz w:val="28"/>
          <w:szCs w:val="28"/>
        </w:rPr>
        <w:t>其他：</w:t>
      </w:r>
      <w:r w:rsidRPr="00253565">
        <w:rPr>
          <w:rFonts w:ascii="微軟正黑體" w:eastAsia="微軟正黑體" w:hAnsi="微軟正黑體" w:hint="eastAsia"/>
          <w:bCs/>
          <w:sz w:val="28"/>
          <w:szCs w:val="28"/>
        </w:rPr>
        <w:t>符合智慧技術元素或智慧化功能之投資項目。</w:t>
      </w:r>
    </w:p>
    <w:sectPr w:rsidR="00253565" w:rsidRPr="00253565" w:rsidSect="002E75DA">
      <w:footerReference w:type="default" r:id="rId16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00C93" w14:textId="77777777" w:rsidR="001D3841" w:rsidRDefault="001D3841" w:rsidP="001D3841">
      <w:r>
        <w:separator/>
      </w:r>
    </w:p>
  </w:endnote>
  <w:endnote w:type="continuationSeparator" w:id="0">
    <w:p w14:paraId="365B3479" w14:textId="77777777" w:rsidR="001D3841" w:rsidRDefault="001D3841" w:rsidP="001D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135223"/>
      <w:docPartObj>
        <w:docPartGallery w:val="Page Numbers (Bottom of Page)"/>
        <w:docPartUnique/>
      </w:docPartObj>
    </w:sdtPr>
    <w:sdtEndPr/>
    <w:sdtContent>
      <w:p w14:paraId="5CBFD184" w14:textId="77777777" w:rsidR="001D3841" w:rsidRDefault="001D38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109" w:rsidRPr="00797109">
          <w:rPr>
            <w:noProof/>
            <w:lang w:val="zh-TW"/>
          </w:rPr>
          <w:t>6</w:t>
        </w:r>
        <w:r>
          <w:fldChar w:fldCharType="end"/>
        </w:r>
      </w:p>
    </w:sdtContent>
  </w:sdt>
  <w:p w14:paraId="45D58B1F" w14:textId="77777777" w:rsidR="001D3841" w:rsidRDefault="001D38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08111" w14:textId="77777777" w:rsidR="001D3841" w:rsidRDefault="001D3841" w:rsidP="001D3841">
      <w:r>
        <w:separator/>
      </w:r>
    </w:p>
  </w:footnote>
  <w:footnote w:type="continuationSeparator" w:id="0">
    <w:p w14:paraId="188B4A13" w14:textId="77777777" w:rsidR="001D3841" w:rsidRDefault="001D3841" w:rsidP="001D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89D"/>
    <w:multiLevelType w:val="hybridMultilevel"/>
    <w:tmpl w:val="7006163C"/>
    <w:lvl w:ilvl="0" w:tplc="33C8D5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1A220AE0">
      <w:start w:val="1"/>
      <w:numFmt w:val="decimal"/>
      <w:lvlText w:val="(%2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2CA3B3F"/>
    <w:multiLevelType w:val="hybridMultilevel"/>
    <w:tmpl w:val="43B299C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3932E78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261823"/>
    <w:multiLevelType w:val="hybridMultilevel"/>
    <w:tmpl w:val="61BAA68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FF81CD3"/>
    <w:multiLevelType w:val="hybridMultilevel"/>
    <w:tmpl w:val="7006163C"/>
    <w:lvl w:ilvl="0" w:tplc="33C8D5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1A220AE0">
      <w:start w:val="1"/>
      <w:numFmt w:val="decimal"/>
      <w:lvlText w:val="(%2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5C2479"/>
    <w:multiLevelType w:val="hybridMultilevel"/>
    <w:tmpl w:val="5FD83AC0"/>
    <w:lvl w:ilvl="0" w:tplc="5276CE9C">
      <w:start w:val="1"/>
      <w:numFmt w:val="decimal"/>
      <w:lvlText w:val="(%1)"/>
      <w:lvlJc w:val="left"/>
      <w:pPr>
        <w:ind w:left="1200" w:hanging="3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23441574"/>
    <w:multiLevelType w:val="hybridMultilevel"/>
    <w:tmpl w:val="34B0A7E8"/>
    <w:lvl w:ilvl="0" w:tplc="F81CCEE2">
      <w:start w:val="1"/>
      <w:numFmt w:val="decimal"/>
      <w:lvlText w:val="%1."/>
      <w:lvlJc w:val="left"/>
      <w:pPr>
        <w:ind w:left="108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00A76D4"/>
    <w:multiLevelType w:val="hybridMultilevel"/>
    <w:tmpl w:val="DCD43516"/>
    <w:lvl w:ilvl="0" w:tplc="1A220AE0">
      <w:start w:val="1"/>
      <w:numFmt w:val="decimal"/>
      <w:lvlText w:val="(%1)"/>
      <w:lvlJc w:val="center"/>
      <w:pPr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EF600E"/>
    <w:multiLevelType w:val="hybridMultilevel"/>
    <w:tmpl w:val="433A8962"/>
    <w:lvl w:ilvl="0" w:tplc="0D04CB3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C55AA4"/>
    <w:multiLevelType w:val="hybridMultilevel"/>
    <w:tmpl w:val="3BBC129C"/>
    <w:lvl w:ilvl="0" w:tplc="1A220AE0">
      <w:start w:val="1"/>
      <w:numFmt w:val="decimal"/>
      <w:lvlText w:val="(%1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562E6F55"/>
    <w:multiLevelType w:val="hybridMultilevel"/>
    <w:tmpl w:val="9A986712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A4A0769"/>
    <w:multiLevelType w:val="hybridMultilevel"/>
    <w:tmpl w:val="C954327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A05D27"/>
    <w:multiLevelType w:val="hybridMultilevel"/>
    <w:tmpl w:val="DCD43516"/>
    <w:lvl w:ilvl="0" w:tplc="1A220AE0">
      <w:start w:val="1"/>
      <w:numFmt w:val="decimal"/>
      <w:lvlText w:val="(%1)"/>
      <w:lvlJc w:val="center"/>
      <w:pPr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0"/>
    <w:rsid w:val="00024A28"/>
    <w:rsid w:val="000258B8"/>
    <w:rsid w:val="00026E91"/>
    <w:rsid w:val="0006051F"/>
    <w:rsid w:val="00082B72"/>
    <w:rsid w:val="00087396"/>
    <w:rsid w:val="000C389A"/>
    <w:rsid w:val="001203EC"/>
    <w:rsid w:val="00123DB1"/>
    <w:rsid w:val="001240A1"/>
    <w:rsid w:val="001341B3"/>
    <w:rsid w:val="00141B2A"/>
    <w:rsid w:val="00164C09"/>
    <w:rsid w:val="0016693A"/>
    <w:rsid w:val="00170A7F"/>
    <w:rsid w:val="001A70CA"/>
    <w:rsid w:val="001A7D35"/>
    <w:rsid w:val="001D3841"/>
    <w:rsid w:val="001E379B"/>
    <w:rsid w:val="00222D20"/>
    <w:rsid w:val="002356A3"/>
    <w:rsid w:val="00243B99"/>
    <w:rsid w:val="00253565"/>
    <w:rsid w:val="002733B6"/>
    <w:rsid w:val="0028459A"/>
    <w:rsid w:val="002A5A7E"/>
    <w:rsid w:val="002C03A8"/>
    <w:rsid w:val="002C6515"/>
    <w:rsid w:val="002D22C7"/>
    <w:rsid w:val="002E75DA"/>
    <w:rsid w:val="002F3E9B"/>
    <w:rsid w:val="00316A43"/>
    <w:rsid w:val="00366200"/>
    <w:rsid w:val="003B01FB"/>
    <w:rsid w:val="003B732D"/>
    <w:rsid w:val="003C7243"/>
    <w:rsid w:val="0043343F"/>
    <w:rsid w:val="0044062B"/>
    <w:rsid w:val="004715EB"/>
    <w:rsid w:val="004F6633"/>
    <w:rsid w:val="00513283"/>
    <w:rsid w:val="00525CDD"/>
    <w:rsid w:val="00542668"/>
    <w:rsid w:val="0057382B"/>
    <w:rsid w:val="005812F1"/>
    <w:rsid w:val="005E5519"/>
    <w:rsid w:val="005F4DBD"/>
    <w:rsid w:val="00605056"/>
    <w:rsid w:val="00640199"/>
    <w:rsid w:val="00661E97"/>
    <w:rsid w:val="00685A10"/>
    <w:rsid w:val="0069310D"/>
    <w:rsid w:val="006B06F6"/>
    <w:rsid w:val="006C3C2E"/>
    <w:rsid w:val="00701B71"/>
    <w:rsid w:val="00711307"/>
    <w:rsid w:val="00722FB4"/>
    <w:rsid w:val="00741190"/>
    <w:rsid w:val="00744B9B"/>
    <w:rsid w:val="00797109"/>
    <w:rsid w:val="007B1154"/>
    <w:rsid w:val="00800AAA"/>
    <w:rsid w:val="008110CD"/>
    <w:rsid w:val="008B0B0E"/>
    <w:rsid w:val="008B65AD"/>
    <w:rsid w:val="008B6B1C"/>
    <w:rsid w:val="008B71E6"/>
    <w:rsid w:val="008D77DE"/>
    <w:rsid w:val="008F7542"/>
    <w:rsid w:val="0097630E"/>
    <w:rsid w:val="009C3415"/>
    <w:rsid w:val="009C748D"/>
    <w:rsid w:val="009E0884"/>
    <w:rsid w:val="009F6516"/>
    <w:rsid w:val="00A4285F"/>
    <w:rsid w:val="00A84E1F"/>
    <w:rsid w:val="00A96891"/>
    <w:rsid w:val="00AA40DC"/>
    <w:rsid w:val="00B0321D"/>
    <w:rsid w:val="00B85C56"/>
    <w:rsid w:val="00B87BAF"/>
    <w:rsid w:val="00BC2B05"/>
    <w:rsid w:val="00BE0326"/>
    <w:rsid w:val="00BE48F5"/>
    <w:rsid w:val="00C40E27"/>
    <w:rsid w:val="00C4764A"/>
    <w:rsid w:val="00C60CFE"/>
    <w:rsid w:val="00C64908"/>
    <w:rsid w:val="00C77AB6"/>
    <w:rsid w:val="00CB11F2"/>
    <w:rsid w:val="00CD5F2D"/>
    <w:rsid w:val="00CF5123"/>
    <w:rsid w:val="00CF5C0D"/>
    <w:rsid w:val="00D03724"/>
    <w:rsid w:val="00D653D6"/>
    <w:rsid w:val="00D7680F"/>
    <w:rsid w:val="00D80692"/>
    <w:rsid w:val="00D86432"/>
    <w:rsid w:val="00D910C1"/>
    <w:rsid w:val="00DB623F"/>
    <w:rsid w:val="00DC2B5A"/>
    <w:rsid w:val="00DC544F"/>
    <w:rsid w:val="00DD5230"/>
    <w:rsid w:val="00DF6B28"/>
    <w:rsid w:val="00E401F9"/>
    <w:rsid w:val="00E41858"/>
    <w:rsid w:val="00E5329C"/>
    <w:rsid w:val="00E746BE"/>
    <w:rsid w:val="00EC5B41"/>
    <w:rsid w:val="00EE1602"/>
    <w:rsid w:val="00F46C58"/>
    <w:rsid w:val="00F616B7"/>
    <w:rsid w:val="00F65D9B"/>
    <w:rsid w:val="00F8705B"/>
    <w:rsid w:val="00F9748D"/>
    <w:rsid w:val="00FD2B1D"/>
    <w:rsid w:val="00FD545E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38565A"/>
  <w15:docId w15:val="{B1C9FA4F-2E5E-4FE5-B4AB-CBB54155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85A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5A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85A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A84E1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4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01F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38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3841"/>
    <w:rPr>
      <w:sz w:val="20"/>
      <w:szCs w:val="20"/>
    </w:rPr>
  </w:style>
  <w:style w:type="paragraph" w:styleId="aa">
    <w:name w:val="TOC Heading"/>
    <w:basedOn w:val="1"/>
    <w:next w:val="a"/>
    <w:uiPriority w:val="39"/>
    <w:semiHidden/>
    <w:unhideWhenUsed/>
    <w:qFormat/>
    <w:rsid w:val="00BE48F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E48F5"/>
  </w:style>
  <w:style w:type="paragraph" w:styleId="21">
    <w:name w:val="toc 2"/>
    <w:basedOn w:val="a"/>
    <w:next w:val="a"/>
    <w:autoRedefine/>
    <w:uiPriority w:val="39"/>
    <w:unhideWhenUsed/>
    <w:rsid w:val="00BE48F5"/>
    <w:pPr>
      <w:ind w:leftChars="200" w:left="480"/>
    </w:pPr>
  </w:style>
  <w:style w:type="character" w:styleId="ab">
    <w:name w:val="Hyperlink"/>
    <w:basedOn w:val="a0"/>
    <w:uiPriority w:val="99"/>
    <w:unhideWhenUsed/>
    <w:rsid w:val="00BE48F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61E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1E97"/>
  </w:style>
  <w:style w:type="character" w:customStyle="1" w:styleId="ae">
    <w:name w:val="註解文字 字元"/>
    <w:basedOn w:val="a0"/>
    <w:link w:val="ad"/>
    <w:uiPriority w:val="99"/>
    <w:semiHidden/>
    <w:rsid w:val="00661E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1E9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61E97"/>
    <w:rPr>
      <w:b/>
      <w:bCs/>
    </w:rPr>
  </w:style>
  <w:style w:type="table" w:styleId="af1">
    <w:name w:val="Table Grid"/>
    <w:basedOn w:val="a1"/>
    <w:uiPriority w:val="59"/>
    <w:rsid w:val="00F8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6C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J0140003" TargetMode="External"/><Relationship Id="rId13" Type="http://schemas.openxmlformats.org/officeDocument/2006/relationships/hyperlink" Target="https://www.ndc.gov.tw/Content_List.aspx?n=C8C4F40EB483EF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c.gov.tw/Content_List.aspx?n=F2B717F4F2F8B7F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c.gov.tw/Content_List.aspx?n=0ECB6EE9D5008D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c.gov.tw/Content_List.aspx?n=9D024A4424DC36B9&amp;upn=6E972F5C30BF198F" TargetMode="External"/><Relationship Id="rId10" Type="http://schemas.openxmlformats.org/officeDocument/2006/relationships/hyperlink" Target="https://www.ndc.gov.tw/Content_List.aspx?n=7F37B18CFC68015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c.gov.tw/Content_List.aspx?n=019C5F19FDA5B91B" TargetMode="External"/><Relationship Id="rId14" Type="http://schemas.openxmlformats.org/officeDocument/2006/relationships/hyperlink" Target="https://www.ndc.gov.tw/Content_List.aspx?n=34E8393A3D814A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8EE3-C6AE-4E46-9B7C-FA4B5480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664</Words>
  <Characters>3785</Characters>
  <Application>Microsoft Office Word</Application>
  <DocSecurity>0</DocSecurity>
  <Lines>31</Lines>
  <Paragraphs>8</Paragraphs>
  <ScaleCrop>false</ScaleCrop>
  <Company>Hewlett-Packard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chen</dc:creator>
  <cp:lastModifiedBy>leo@invest.org.tw</cp:lastModifiedBy>
  <cp:revision>4</cp:revision>
  <cp:lastPrinted>2019-07-24T02:08:00Z</cp:lastPrinted>
  <dcterms:created xsi:type="dcterms:W3CDTF">2019-11-18T09:55:00Z</dcterms:created>
  <dcterms:modified xsi:type="dcterms:W3CDTF">2019-11-18T10:00:00Z</dcterms:modified>
</cp:coreProperties>
</file>