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568"/>
        <w:gridCol w:w="39"/>
        <w:gridCol w:w="1662"/>
        <w:gridCol w:w="1985"/>
        <w:gridCol w:w="1275"/>
        <w:gridCol w:w="375"/>
        <w:gridCol w:w="1522"/>
        <w:gridCol w:w="727"/>
        <w:gridCol w:w="2196"/>
      </w:tblGrid>
      <w:tr w:rsidR="009F56DF" w:rsidRPr="009F56DF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1EC1C744" w:rsidR="00775429" w:rsidRPr="009F56DF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  <w:bookmarkStart w:id="0" w:name="_Toc532548593"/>
            <w:r w:rsidRPr="009F56DF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核發符合「歡迎</w:t>
            </w:r>
            <w:proofErr w:type="gramStart"/>
            <w:r w:rsidR="001E4FBC" w:rsidRPr="009F56DF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臺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商</w:t>
            </w:r>
            <w:r w:rsidR="00785DF6" w:rsidRPr="009F56DF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回</w:t>
            </w:r>
            <w:proofErr w:type="gramStart"/>
            <w:r w:rsidR="001E4FBC" w:rsidRPr="009F56DF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臺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投資行動方案」資格認定申請</w:t>
            </w:r>
            <w:r w:rsidRPr="009F56DF">
              <w:rPr>
                <w:rFonts w:ascii="微軟正黑體" w:eastAsia="微軟正黑體" w:hAnsi="微軟正黑體" w:cs="Times New Roman"/>
                <w:b/>
                <w:bCs/>
                <w:iCs/>
                <w:color w:val="0D0D0D" w:themeColor="text1" w:themeTint="F2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9F56DF" w:rsidRPr="009F56DF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9F56DF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Cs w:val="24"/>
                    </w:rPr>
                  </w:pPr>
                  <w:r w:rsidRPr="009F56DF">
                    <w:rPr>
                      <w:rFonts w:ascii="微軟正黑體" w:eastAsia="微軟正黑體" w:hAnsi="微軟正黑體" w:cs="Times New Roman" w:hint="eastAsia"/>
                      <w:color w:val="0D0D0D" w:themeColor="text1" w:themeTint="F2"/>
                      <w:szCs w:val="24"/>
                    </w:rPr>
                    <w:t xml:space="preserve">                 (本申請書一經塗改即失效)</w:t>
                  </w:r>
                  <w:r w:rsidRPr="009F56DF">
                    <w:rPr>
                      <w:rFonts w:ascii="微軟正黑體" w:eastAsia="微軟正黑體" w:hAnsi="微軟正黑體" w:cs="Times New Roman" w:hint="eastAsia"/>
                      <w:i/>
                      <w:color w:val="0D0D0D" w:themeColor="text1" w:themeTint="F2"/>
                      <w:kern w:val="0"/>
                      <w:sz w:val="32"/>
                      <w:szCs w:val="32"/>
                    </w:rPr>
                    <w:t xml:space="preserve"> </w:t>
                  </w:r>
                  <w:r w:rsidRPr="009F56DF">
                    <w:rPr>
                      <w:rFonts w:ascii="微軟正黑體" w:eastAsia="微軟正黑體" w:hAnsi="微軟正黑體" w:cs="Times New Roman" w:hint="eastAsia"/>
                      <w:color w:val="0D0D0D" w:themeColor="text1" w:themeTint="F2"/>
                      <w:szCs w:val="24"/>
                    </w:rPr>
                    <w:t xml:space="preserve">         </w:t>
                  </w:r>
                </w:p>
                <w:p w14:paraId="24B2A19D" w14:textId="2E3DDBC6" w:rsidR="00775429" w:rsidRPr="009F56DF" w:rsidRDefault="00775429" w:rsidP="00775429">
                  <w:pPr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9F56DF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Cs w:val="24"/>
                    </w:rPr>
                  </w:pPr>
                  <w:r w:rsidRPr="009F56DF">
                    <w:rPr>
                      <w:rFonts w:ascii="微軟正黑體" w:eastAsia="微軟正黑體" w:hAnsi="微軟正黑體" w:cs="Times New Roman" w:hint="eastAsia"/>
                      <w:color w:val="0D0D0D" w:themeColor="text1" w:themeTint="F2"/>
                      <w:szCs w:val="24"/>
                    </w:rPr>
                    <w:t>申請人申請</w:t>
                  </w:r>
                </w:p>
                <w:p w14:paraId="2D47119C" w14:textId="77777777" w:rsidR="00775429" w:rsidRPr="009F56DF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 w:val="20"/>
                      <w:szCs w:val="24"/>
                    </w:rPr>
                  </w:pPr>
                  <w:r w:rsidRPr="009F56DF">
                    <w:rPr>
                      <w:rFonts w:ascii="微軟正黑體" w:eastAsia="微軟正黑體" w:hAnsi="微軟正黑體" w:cs="Times New Roman" w:hint="eastAsia"/>
                      <w:color w:val="0D0D0D" w:themeColor="text1" w:themeTint="F2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9F56DF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Cs w:val="24"/>
                    </w:rPr>
                  </w:pPr>
                  <w:r w:rsidRPr="009F56DF">
                    <w:rPr>
                      <w:rFonts w:ascii="微軟正黑體" w:eastAsia="微軟正黑體" w:hAnsi="微軟正黑體" w:cs="Times New Roman" w:hint="eastAsia"/>
                      <w:color w:val="0D0D0D" w:themeColor="text1" w:themeTint="F2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9F56DF" w:rsidRPr="009F56DF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9F56DF" w:rsidRDefault="00775429" w:rsidP="00775429">
                  <w:pPr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9F56DF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9F56DF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D0D0D" w:themeColor="text1" w:themeTint="F2"/>
                      <w:szCs w:val="24"/>
                    </w:rPr>
                  </w:pPr>
                </w:p>
              </w:tc>
            </w:tr>
          </w:tbl>
          <w:p w14:paraId="08D37527" w14:textId="77777777" w:rsidR="00775429" w:rsidRPr="009F56DF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D0D0D" w:themeColor="text1" w:themeTint="F2"/>
                <w:szCs w:val="24"/>
              </w:rPr>
            </w:pPr>
          </w:p>
        </w:tc>
      </w:tr>
      <w:tr w:rsidR="009F56DF" w:rsidRPr="009F56DF" w14:paraId="572C8F56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一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247A7236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依據「歡迎</w:t>
            </w:r>
            <w:proofErr w:type="gramStart"/>
            <w:r w:rsidR="001E4FBC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商</w:t>
            </w:r>
            <w:r w:rsidR="00785DF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回</w:t>
            </w:r>
            <w:proofErr w:type="gramStart"/>
            <w:r w:rsidR="001E4FBC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投資行動方案」</w:t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核發資格認定核定函  </w:t>
            </w:r>
          </w:p>
        </w:tc>
      </w:tr>
      <w:tr w:rsidR="009F56DF" w:rsidRPr="009F56DF" w14:paraId="3D994170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F2057D" w:rsidRPr="009F56DF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  <w:r w:rsidRPr="009F56DF">
              <w:rPr>
                <w:rFonts w:ascii="微軟正黑體" w:eastAsia="微軟正黑體" w:hAnsi="微軟正黑體" w:cs="Times New Roman"/>
                <w:noProof/>
                <w:color w:val="0D0D0D" w:themeColor="text1" w:themeTint="F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F2057D" w:rsidRDefault="00F2057D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F2057D" w:rsidRDefault="00F2057D" w:rsidP="00775429"/>
                        </w:txbxContent>
                      </v:textbox>
                    </v:shape>
                  </w:pict>
                </mc:Fallback>
              </mc:AlternateConten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2"/>
              </w:rPr>
              <w:t>(二)</w:t>
            </w:r>
          </w:p>
          <w:p w14:paraId="52091921" w14:textId="77777777" w:rsidR="00F2057D" w:rsidRPr="009F56DF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2"/>
              </w:rPr>
              <w:t>申</w:t>
            </w:r>
          </w:p>
          <w:p w14:paraId="4215F954" w14:textId="77777777" w:rsidR="00F2057D" w:rsidRPr="009F56DF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2"/>
              </w:rPr>
              <w:t>請</w:t>
            </w:r>
          </w:p>
          <w:p w14:paraId="600AEC65" w14:textId="77777777" w:rsidR="00F2057D" w:rsidRPr="009F56DF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F2057D" w:rsidRPr="009F56DF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pacing w:val="-1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F2057D" w:rsidRPr="009F56DF" w:rsidRDefault="00F2057D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565F665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1EAEA494" w:rsidR="00F2057D" w:rsidRPr="009F56DF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營利事業</w:t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t>統一編號</w:t>
            </w:r>
          </w:p>
        </w:tc>
        <w:tc>
          <w:tcPr>
            <w:tcW w:w="1985" w:type="dxa"/>
            <w:vMerge w:val="restart"/>
            <w:vAlign w:val="center"/>
          </w:tcPr>
          <w:p w14:paraId="4522ECA7" w14:textId="7F7FFF61" w:rsidR="00F2057D" w:rsidRPr="009F56DF" w:rsidRDefault="00F2057D" w:rsidP="00B22067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DD91A4" w14:textId="70C3BAA5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負責人/職稱</w:t>
            </w:r>
          </w:p>
        </w:tc>
        <w:tc>
          <w:tcPr>
            <w:tcW w:w="1897" w:type="dxa"/>
            <w:gridSpan w:val="2"/>
            <w:vAlign w:val="center"/>
          </w:tcPr>
          <w:p w14:paraId="3A292BA7" w14:textId="77777777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87C6ECC" w14:textId="5D45E885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pacing w:val="-16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196" w:type="dxa"/>
            <w:vAlign w:val="center"/>
          </w:tcPr>
          <w:p w14:paraId="38B36CBD" w14:textId="77D13DF1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  )         分機</w:t>
            </w:r>
          </w:p>
        </w:tc>
      </w:tr>
      <w:tr w:rsidR="009F56DF" w:rsidRPr="009F56DF" w14:paraId="523174D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F2057D" w:rsidRPr="009F56DF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1893038" w14:textId="77777777" w:rsidR="00F2057D" w:rsidRPr="009F56DF" w:rsidRDefault="00F2057D" w:rsidP="00B22067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0BB980" w14:textId="5E49C30E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手機</w:t>
            </w:r>
          </w:p>
        </w:tc>
        <w:tc>
          <w:tcPr>
            <w:tcW w:w="1897" w:type="dxa"/>
            <w:gridSpan w:val="2"/>
            <w:vAlign w:val="center"/>
          </w:tcPr>
          <w:p w14:paraId="37D81F38" w14:textId="77777777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9327843" w14:textId="265BF178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pacing w:val="-16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E</w:t>
            </w:r>
            <w:r w:rsidR="004D644C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-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196" w:type="dxa"/>
            <w:vAlign w:val="center"/>
          </w:tcPr>
          <w:p w14:paraId="203CA923" w14:textId="77777777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6EFA9489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0C2F1915" w14:textId="77777777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05E1F1DB" w14:textId="0FD0166D" w:rsidR="00F2057D" w:rsidRPr="009F56DF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核准設立日期</w:t>
            </w:r>
          </w:p>
        </w:tc>
        <w:tc>
          <w:tcPr>
            <w:tcW w:w="1985" w:type="dxa"/>
            <w:vMerge w:val="restart"/>
            <w:vAlign w:val="center"/>
          </w:tcPr>
          <w:p w14:paraId="48080D04" w14:textId="5ED51488" w:rsidR="00F2057D" w:rsidRPr="009F56DF" w:rsidRDefault="00F2057D" w:rsidP="00A17BEC">
            <w:pPr>
              <w:tabs>
                <w:tab w:val="center" w:pos="1052"/>
              </w:tabs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民國    年  月   日</w:t>
            </w:r>
          </w:p>
        </w:tc>
        <w:tc>
          <w:tcPr>
            <w:tcW w:w="1275" w:type="dxa"/>
            <w:vAlign w:val="center"/>
          </w:tcPr>
          <w:p w14:paraId="77E81D9A" w14:textId="1CAD5DBE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97" w:type="dxa"/>
            <w:gridSpan w:val="2"/>
            <w:vAlign w:val="center"/>
          </w:tcPr>
          <w:p w14:paraId="1EC4A445" w14:textId="77777777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8DEA056" w14:textId="41F2029D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pacing w:val="-16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196" w:type="dxa"/>
            <w:vAlign w:val="center"/>
          </w:tcPr>
          <w:p w14:paraId="0FBA0911" w14:textId="314237D8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  )         分機</w:t>
            </w:r>
          </w:p>
        </w:tc>
      </w:tr>
      <w:tr w:rsidR="009F56DF" w:rsidRPr="009F56DF" w14:paraId="4BA73AC4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FCD1CA7" w14:textId="77777777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6AD105D6" w14:textId="77777777" w:rsidR="00F2057D" w:rsidRPr="009F56DF" w:rsidRDefault="00F2057D" w:rsidP="00B22067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FD9D468" w14:textId="77777777" w:rsidR="00F2057D" w:rsidRPr="009F56DF" w:rsidRDefault="00F2057D" w:rsidP="00B22067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B688C1" w14:textId="4BB0313D" w:rsidR="00F2057D" w:rsidRPr="009F56DF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手機</w:t>
            </w:r>
          </w:p>
        </w:tc>
        <w:tc>
          <w:tcPr>
            <w:tcW w:w="1897" w:type="dxa"/>
            <w:gridSpan w:val="2"/>
            <w:vAlign w:val="center"/>
          </w:tcPr>
          <w:p w14:paraId="7FA90809" w14:textId="77777777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2A63CC1" w14:textId="304B59BE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pacing w:val="-16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E</w:t>
            </w:r>
            <w:r w:rsidR="004D644C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-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196" w:type="dxa"/>
            <w:vAlign w:val="center"/>
          </w:tcPr>
          <w:p w14:paraId="0E7578C8" w14:textId="77777777" w:rsidR="00F2057D" w:rsidRPr="009F56DF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6C1E5AD2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F2057D" w:rsidRPr="009F56DF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F2057D" w:rsidRPr="009F56DF" w:rsidRDefault="00F2057D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F2057D" w:rsidRPr="009F56DF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047AC50A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3EBC7039" w14:textId="77777777" w:rsidR="00F2057D" w:rsidRPr="009F56DF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5E2A0290" w14:textId="76F29285" w:rsidR="00F2057D" w:rsidRPr="009F56DF" w:rsidRDefault="00F2057D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pacing w:val="-1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0"/>
                <w:sz w:val="20"/>
                <w:szCs w:val="20"/>
              </w:rPr>
              <w:t>公司類型</w:t>
            </w:r>
          </w:p>
        </w:tc>
        <w:tc>
          <w:tcPr>
            <w:tcW w:w="8080" w:type="dxa"/>
            <w:gridSpan w:val="6"/>
            <w:vAlign w:val="center"/>
          </w:tcPr>
          <w:p w14:paraId="24302089" w14:textId="55CD314A" w:rsidR="00F2057D" w:rsidRPr="009F56DF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□大型企業</w:t>
            </w:r>
          </w:p>
          <w:p w14:paraId="0CB12F93" w14:textId="65F01C5F" w:rsidR="00F2057D" w:rsidRPr="009F56DF" w:rsidRDefault="00F2057D" w:rsidP="001601AE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□符合「中小企業認定標準</w:t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t>」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(至少符合其中一項)</w:t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br/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="001601AE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□實收資本額在新臺幣一億元以下  □經常僱用員工數未滿二百人</w:t>
            </w:r>
          </w:p>
        </w:tc>
      </w:tr>
      <w:tr w:rsidR="009F56DF" w:rsidRPr="009F56DF" w14:paraId="491AC5E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21C4C5A" w14:textId="77777777" w:rsidR="00F2057D" w:rsidRPr="009F56DF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52A9E486" w14:textId="75A0CD40" w:rsidR="00F2057D" w:rsidRPr="009F56DF" w:rsidRDefault="00B502B2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D0D0D" w:themeColor="text1" w:themeTint="F2"/>
                <w:spacing w:val="-1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AB0BBA0" w14:textId="2AA04F68" w:rsidR="00F2057D" w:rsidRPr="009F56DF" w:rsidRDefault="00B502B2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□上市  </w:t>
            </w:r>
            <w:r w:rsidR="005F796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□上櫃  </w:t>
            </w:r>
            <w:r w:rsidR="005F796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興櫃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</w:t>
            </w:r>
            <w:r w:rsidR="005F796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創櫃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</w:t>
            </w:r>
            <w:r w:rsidR="005F796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□公開發行</w:t>
            </w:r>
            <w:r w:rsidR="00ED3D0D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="00ED3D0D"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t xml:space="preserve">   </w:t>
            </w:r>
            <w:r w:rsidR="00ED3D0D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</w:t>
            </w:r>
            <w:r w:rsidR="00487DCA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以上皆無</w:t>
            </w:r>
          </w:p>
        </w:tc>
      </w:tr>
      <w:tr w:rsidR="009F56DF" w:rsidRPr="009F56DF" w14:paraId="523D4FE2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(三)適用資格</w:t>
            </w:r>
          </w:p>
          <w:p w14:paraId="060A9959" w14:textId="77777777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456118B1" w:rsidR="00775429" w:rsidRPr="009F56DF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共同資格：</w:t>
            </w:r>
          </w:p>
          <w:p w14:paraId="656AEE1A" w14:textId="1E6E2B7C" w:rsidR="00775429" w:rsidRPr="009F56DF" w:rsidRDefault="00775429" w:rsidP="00DD5953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</w:t>
            </w:r>
            <w:r w:rsidR="00D53AE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赴中國大陸</w:t>
            </w:r>
            <w:r w:rsidR="00DD59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或其他國家</w:t>
            </w:r>
            <w:r w:rsidR="00D53AE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</w:t>
            </w:r>
            <w:r w:rsidR="00DD59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，其他國家為:</w:t>
            </w:r>
          </w:p>
        </w:tc>
      </w:tr>
      <w:tr w:rsidR="009F56DF" w:rsidRPr="009F56DF" w14:paraId="71B289A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022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1D9A0BF1" w14:textId="77777777" w:rsidR="00DD5953" w:rsidRPr="009F56DF" w:rsidRDefault="00DD5953" w:rsidP="00DD5953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特定資格：</w:t>
            </w:r>
          </w:p>
          <w:p w14:paraId="39C8EF92" w14:textId="1F559DB3" w:rsidR="00DD5953" w:rsidRPr="009F56DF" w:rsidRDefault="00DD5953" w:rsidP="00DD5953">
            <w:pPr>
              <w:spacing w:line="260" w:lineRule="exact"/>
              <w:ind w:leftChars="1" w:left="856" w:hangingChars="427" w:hanging="854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</w:t>
            </w:r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製造業：投資或擴廠之部分產線需具備人工智慧運用元素，且逐步落實</w:t>
            </w:r>
            <w:proofErr w:type="gramStart"/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減碳排</w:t>
            </w:r>
            <w:proofErr w:type="gramEnd"/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之企業，並至少符合下列資格之</w:t>
            </w:r>
            <w:proofErr w:type="gramStart"/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一</w:t>
            </w:r>
            <w:proofErr w:type="gramEnd"/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</w:t>
            </w:r>
          </w:p>
          <w:p w14:paraId="6C9B97C4" w14:textId="0BFE3193" w:rsidR="00DD5953" w:rsidRPr="009F56DF" w:rsidRDefault="00DD5953" w:rsidP="00DD5953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       □</w:t>
            </w:r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屬五大信賴產業、大健康產業、六大核心戰略產業或五加二產業創新領域</w:t>
            </w:r>
          </w:p>
          <w:p w14:paraId="281A3157" w14:textId="77777777" w:rsidR="00DD5953" w:rsidRPr="009F56DF" w:rsidRDefault="00DD5953" w:rsidP="00DD5953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       □屬高附加價值產品及關鍵零組件相關產業</w:t>
            </w:r>
          </w:p>
          <w:p w14:paraId="0FE3A941" w14:textId="77777777" w:rsidR="00DD5953" w:rsidRPr="009F56DF" w:rsidRDefault="00DD5953" w:rsidP="00DD5953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       □國際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供應鏈居於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關鍵地位</w:t>
            </w:r>
          </w:p>
          <w:p w14:paraId="2BE0E381" w14:textId="77777777" w:rsidR="00DD5953" w:rsidRPr="009F56DF" w:rsidRDefault="00DD5953" w:rsidP="00DD5953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       □自有品牌國際行銷</w:t>
            </w:r>
          </w:p>
          <w:p w14:paraId="6D848AE0" w14:textId="471B1694" w:rsidR="00DD5953" w:rsidRPr="009F56DF" w:rsidRDefault="00DD5953" w:rsidP="00DD5953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       □</w:t>
            </w:r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經認定回</w:t>
            </w:r>
            <w:proofErr w:type="gramStart"/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proofErr w:type="gramEnd"/>
            <w:r w:rsidR="009F1BA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投資項目與國家重點產業政策相關</w:t>
            </w:r>
          </w:p>
          <w:p w14:paraId="68A3DF18" w14:textId="1E920D47" w:rsidR="00775429" w:rsidRPr="009F56DF" w:rsidRDefault="00DD5953" w:rsidP="00DD5953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</w:t>
            </w:r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服務業：服務能量需具備人工智慧運用元素，投資項目與國家重點產業政策相關，且逐步落實</w:t>
            </w:r>
            <w:proofErr w:type="gramStart"/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減碳排</w:t>
            </w:r>
            <w:proofErr w:type="gramEnd"/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之企業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。</w:t>
            </w:r>
          </w:p>
        </w:tc>
      </w:tr>
      <w:tr w:rsidR="009F56DF" w:rsidRPr="009F56DF" w14:paraId="6EA11C1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737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A1F860F" w:rsidR="00312482" w:rsidRPr="009F56DF" w:rsidRDefault="00312482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07E85083" w14:textId="77777777" w:rsidR="00312482" w:rsidRPr="009F56DF" w:rsidRDefault="00312482" w:rsidP="00312482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行業類別 (依「中華民國行業標準分類」填寫代號及名稱)</w:t>
            </w:r>
          </w:p>
          <w:p w14:paraId="4E254800" w14:textId="20577A8B" w:rsidR="00312482" w:rsidRPr="009F56DF" w:rsidRDefault="00312482" w:rsidP="00312482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bCs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大類：                         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中類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</w:t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br/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br/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□高科技產業(</w:t>
            </w:r>
            <w:r w:rsidRPr="009F56DF">
              <w:rPr>
                <w:rFonts w:ascii="微軟正黑體" w:eastAsia="微軟正黑體" w:hAnsi="微軟正黑體" w:cs="Times New Roman" w:hint="eastAsia"/>
                <w:bCs/>
                <w:color w:val="0D0D0D" w:themeColor="text1" w:themeTint="F2"/>
                <w:sz w:val="20"/>
                <w:szCs w:val="20"/>
              </w:rPr>
              <w:t>投資從事積體電路晶片製造、液晶顯示器（TFT－LCD）或積體電路製程用光罩等三種製程或製品之製造業)</w:t>
            </w:r>
          </w:p>
          <w:p w14:paraId="0747F57B" w14:textId="26A8CAF8" w:rsidR="00312482" w:rsidRPr="009F56DF" w:rsidRDefault="00312482" w:rsidP="00775429">
            <w:pPr>
              <w:spacing w:line="260" w:lineRule="exact"/>
              <w:ind w:leftChars="6" w:left="214" w:hangingChars="100" w:hanging="20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  <w:u w:val="single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□其他產業</w:t>
            </w:r>
          </w:p>
        </w:tc>
      </w:tr>
      <w:tr w:rsidR="009F56DF" w:rsidRPr="009F56DF" w14:paraId="6817D835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49"/>
        </w:trPr>
        <w:tc>
          <w:tcPr>
            <w:tcW w:w="2269" w:type="dxa"/>
            <w:gridSpan w:val="3"/>
            <w:vMerge/>
            <w:vAlign w:val="center"/>
          </w:tcPr>
          <w:p w14:paraId="297ED32A" w14:textId="77777777" w:rsidR="00312482" w:rsidRPr="009F56DF" w:rsidRDefault="00312482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4ACC7719" w14:textId="1AD3E020" w:rsidR="007A238D" w:rsidRPr="009F56DF" w:rsidRDefault="007A238D" w:rsidP="007A238D">
            <w:pPr>
              <w:spacing w:line="26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本次投資項目(產品</w:t>
            </w:r>
            <w:r w:rsidR="00784DE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或服務內容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)：</w:t>
            </w:r>
          </w:p>
          <w:p w14:paraId="5F8D0CCC" w14:textId="77777777" w:rsidR="00312482" w:rsidRPr="009F56DF" w:rsidRDefault="00312482" w:rsidP="00775429">
            <w:pPr>
              <w:spacing w:line="260" w:lineRule="exact"/>
              <w:ind w:leftChars="6" w:left="214" w:hangingChars="100" w:hanging="20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0177B2ED" w14:textId="4130DB6E" w:rsidR="007A238D" w:rsidRPr="009F56DF" w:rsidRDefault="007A238D" w:rsidP="00D80ACA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24CF38BC" w14:textId="77777777" w:rsidTr="00F27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74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9F56DF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70D59916" w:rsidR="00775429" w:rsidRPr="009F56DF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本公司投資計畫總金額：新</w:t>
            </w:r>
            <w:r w:rsidR="007F0EC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幣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         </w:t>
            </w:r>
            <w:r w:rsidR="0078579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仟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元，其中：               </w:t>
            </w:r>
          </w:p>
          <w:p w14:paraId="2DA93BC9" w14:textId="77777777" w:rsidR="00F27539" w:rsidRPr="009F56DF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1購置土地：新</w:t>
            </w:r>
            <w:r w:rsidR="007F0EC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幣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               </w:t>
            </w:r>
            <w:r w:rsidR="0078579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仟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元；</w:t>
            </w:r>
          </w:p>
          <w:p w14:paraId="13908058" w14:textId="41696322" w:rsidR="00775429" w:rsidRPr="009F56DF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2</w:t>
            </w:r>
            <w:r w:rsidR="00F2753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興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(擴)建廠房</w:t>
            </w:r>
            <w:r w:rsidR="00F2753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、營運場所及相關設施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：新</w:t>
            </w:r>
            <w:r w:rsidR="007F0EC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幣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   </w:t>
            </w:r>
            <w:r w:rsidR="0078579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仟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元</w:t>
            </w:r>
            <w:r w:rsidR="0018101F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；</w:t>
            </w:r>
          </w:p>
          <w:p w14:paraId="29E2D647" w14:textId="77777777" w:rsidR="00F27539" w:rsidRPr="009F56DF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3購置機器設備：新</w:t>
            </w:r>
            <w:r w:rsidR="004921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幣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            </w:t>
            </w:r>
            <w:r w:rsidR="0078579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仟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元；</w:t>
            </w:r>
          </w:p>
          <w:p w14:paraId="29986D7D" w14:textId="7E53778E" w:rsidR="00775429" w:rsidRPr="009F56DF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4</w:t>
            </w:r>
            <w:r w:rsidR="00F2753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中期營運週轉金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：新</w:t>
            </w:r>
            <w:r w:rsidR="007F0EC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臺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幣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       </w:t>
            </w:r>
            <w:r w:rsidR="0078579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仟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元</w:t>
            </w:r>
          </w:p>
          <w:p w14:paraId="57AD0CC1" w14:textId="6AE6AEB6" w:rsidR="00492153" w:rsidRPr="009F56DF" w:rsidRDefault="00F27539" w:rsidP="00775429">
            <w:pPr>
              <w:spacing w:line="24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="004921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上述項目中，屬研發投資：新臺幣</w:t>
            </w:r>
            <w:r w:rsidR="004921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           </w:t>
            </w:r>
            <w:r w:rsidR="0078579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仟</w:t>
            </w:r>
            <w:r w:rsidR="004921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元</w:t>
            </w:r>
          </w:p>
        </w:tc>
      </w:tr>
      <w:tr w:rsidR="009F56DF" w:rsidRPr="009F56DF" w14:paraId="7B0B5AC8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86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9F56DF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7AFD5597" w14:textId="1FA6E22E" w:rsidR="007C39E7" w:rsidRPr="009F56DF" w:rsidRDefault="007C39E7" w:rsidP="005C0300">
            <w:pPr>
              <w:widowControl/>
              <w:spacing w:line="36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1本公司</w:t>
            </w:r>
            <w:r w:rsidR="001A127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最近</w:t>
            </w:r>
            <w:r w:rsidR="00DF07FA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12個月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平均僱用員工總人數：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人。</w:t>
            </w:r>
          </w:p>
          <w:p w14:paraId="35311837" w14:textId="042C38CF" w:rsidR="00775429" w:rsidRPr="009F56DF" w:rsidRDefault="007C39E7" w:rsidP="005C0300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2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本公司現有僱用員工總人數：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人，其中：</w:t>
            </w:r>
          </w:p>
          <w:p w14:paraId="377AC302" w14:textId="77777777" w:rsidR="00775429" w:rsidRPr="009F56DF" w:rsidRDefault="00775429" w:rsidP="005C0300">
            <w:pPr>
              <w:widowControl/>
              <w:spacing w:line="360" w:lineRule="exact"/>
              <w:ind w:leftChars="92" w:left="221" w:firstLine="1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kern w:val="0"/>
                <w:sz w:val="20"/>
                <w:szCs w:val="20"/>
                <w:u w:val="single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本國員工人數：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人；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製造業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外籍員工人數(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藍領)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：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人</w:t>
            </w:r>
          </w:p>
          <w:p w14:paraId="7B97F313" w14:textId="2F8C1732" w:rsidR="00775429" w:rsidRPr="009F56DF" w:rsidRDefault="007C39E7" w:rsidP="005C0300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3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本公司新增僱用員工總人數：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人，其中：</w:t>
            </w:r>
            <w:r w:rsidR="0037683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(新增本國員工人數:</w:t>
            </w:r>
            <w:r w:rsidR="009D2E6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 </w:t>
            </w:r>
            <w:r w:rsidR="0037683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人)</w:t>
            </w:r>
          </w:p>
          <w:p w14:paraId="2CEF22F4" w14:textId="056D4E07" w:rsidR="005C0300" w:rsidRPr="009F56DF" w:rsidRDefault="00775429" w:rsidP="005C0300">
            <w:pPr>
              <w:widowControl/>
              <w:spacing w:afterLines="20" w:after="72" w:line="360" w:lineRule="exact"/>
              <w:ind w:left="223"/>
              <w:rPr>
                <w:rFonts w:ascii="微軟正黑體" w:eastAsia="微軟正黑體" w:hAnsi="微軟正黑體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新增本國員工人數：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人(</w:t>
            </w:r>
            <w:r w:rsidR="00F56C0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□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薪資達新臺幣3</w:t>
            </w:r>
            <w:r w:rsidR="00DD59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.6</w:t>
            </w:r>
            <w:r w:rsidR="00785DF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3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萬元</w:t>
            </w:r>
            <w:r w:rsidR="005C030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；</w:t>
            </w:r>
            <w:r w:rsidR="00F56C0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□薪資達新臺幣3.</w:t>
            </w:r>
            <w:r w:rsidR="005C0300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8</w:t>
            </w:r>
            <w:r w:rsidR="00785DF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2</w:t>
            </w:r>
            <w:r w:rsidR="00F56C0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萬元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)；</w:t>
            </w:r>
          </w:p>
          <w:p w14:paraId="4C0BC82E" w14:textId="2D023215" w:rsidR="00775429" w:rsidRPr="009F56DF" w:rsidRDefault="00775429" w:rsidP="005C0300">
            <w:pPr>
              <w:widowControl/>
              <w:spacing w:afterLines="20" w:after="72" w:line="360" w:lineRule="exact"/>
              <w:ind w:left="223"/>
              <w:rPr>
                <w:rFonts w:ascii="微軟正黑體" w:eastAsia="微軟正黑體" w:hAnsi="微軟正黑體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新增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製造業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外籍員工人數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(藍領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)：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 人(其中特定製程5級制：　　人；附加案：　　人；</w:t>
            </w:r>
            <w:r w:rsidR="00785DF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方案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再附加：　　人</w:t>
            </w:r>
            <w:r w:rsidR="00785DF6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；40%以上再附加：     人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  <w:u w:val="single"/>
              </w:rPr>
              <w:t>)</w:t>
            </w:r>
          </w:p>
        </w:tc>
      </w:tr>
      <w:tr w:rsidR="009F56DF" w:rsidRPr="009F56DF" w14:paraId="58AAF7B7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568" w:type="dxa"/>
            <w:vMerge w:val="restart"/>
            <w:vAlign w:val="center"/>
          </w:tcPr>
          <w:p w14:paraId="7DA6B532" w14:textId="77777777" w:rsidR="00775429" w:rsidRPr="009F56DF" w:rsidRDefault="00775429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2"/>
              </w:rPr>
              <w:lastRenderedPageBreak/>
              <w:t>(七)</w:t>
            </w:r>
          </w:p>
        </w:tc>
        <w:tc>
          <w:tcPr>
            <w:tcW w:w="1701" w:type="dxa"/>
            <w:gridSpan w:val="2"/>
            <w:vAlign w:val="center"/>
          </w:tcPr>
          <w:p w14:paraId="7F8239D1" w14:textId="424C4627" w:rsidR="00775429" w:rsidRPr="009F56DF" w:rsidRDefault="00B0133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興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(擴)建地點</w:t>
            </w:r>
          </w:p>
        </w:tc>
        <w:tc>
          <w:tcPr>
            <w:tcW w:w="8080" w:type="dxa"/>
            <w:gridSpan w:val="6"/>
            <w:vAlign w:val="center"/>
          </w:tcPr>
          <w:p w14:paraId="41F11477" w14:textId="48B11C58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01E52746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568" w:type="dxa"/>
            <w:vMerge/>
            <w:vAlign w:val="center"/>
          </w:tcPr>
          <w:p w14:paraId="31EE0332" w14:textId="77777777" w:rsidR="00775429" w:rsidRPr="009F56DF" w:rsidRDefault="00775429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FD553B" w14:textId="77777777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1BBB7787" w14:textId="77777777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F56DF" w:rsidRPr="009F56DF" w14:paraId="79C4A41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4709B7C4" w:rsidR="00775429" w:rsidRPr="009F56DF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(八)預計投資計畫</w:t>
            </w:r>
            <w:r w:rsidR="0049215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CAE0683" w:rsidR="00775429" w:rsidRPr="009F56DF" w:rsidRDefault="0049215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自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民國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年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月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</w:t>
            </w:r>
            <w:r w:rsidR="00775429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日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至民國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年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月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  <w:u w:val="single"/>
              </w:rPr>
              <w:t xml:space="preserve">     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日</w:t>
            </w:r>
          </w:p>
        </w:tc>
      </w:tr>
      <w:tr w:rsidR="009F56DF" w:rsidRPr="009F56DF" w14:paraId="5A09A28F" w14:textId="77777777" w:rsidTr="0009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8142"/>
        </w:trPr>
        <w:tc>
          <w:tcPr>
            <w:tcW w:w="5904" w:type="dxa"/>
            <w:gridSpan w:val="6"/>
          </w:tcPr>
          <w:p w14:paraId="07D8F283" w14:textId="133302C6" w:rsidR="00F37162" w:rsidRPr="009F56DF" w:rsidRDefault="00F37162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r w:rsidR="00915B7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九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</w:t>
            </w:r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申請認定之廠商，應檢具十五份投資計畫書，向投資臺灣事務所提出申請，投資計畫書應包含下列項目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：（影本文件應加蓋「與正本相符」印章）</w:t>
            </w:r>
          </w:p>
          <w:p w14:paraId="28DC3660" w14:textId="5B277150" w:rsidR="00F37162" w:rsidRPr="009F56DF" w:rsidRDefault="00F37162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1.公司設立</w:t>
            </w:r>
            <w:r w:rsidR="006609EA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(變更)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登記表影本</w:t>
            </w:r>
            <w:proofErr w:type="gramEnd"/>
          </w:p>
          <w:p w14:paraId="5916A666" w14:textId="701902CA" w:rsidR="000567C3" w:rsidRPr="009F56DF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2.股東結構及關係企業之相關文件</w:t>
            </w:r>
          </w:p>
          <w:p w14:paraId="231ECFDA" w14:textId="5B940C9B" w:rsidR="00F37162" w:rsidRPr="009F56DF" w:rsidRDefault="000567C3" w:rsidP="00775429">
            <w:pPr>
              <w:spacing w:line="240" w:lineRule="exact"/>
              <w:ind w:leftChars="107" w:left="457" w:hangingChars="100" w:hanging="200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3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.</w:t>
            </w:r>
            <w:r w:rsidR="00F2544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本部（投資審議司）核准或備查赴大陸地區或其他國家投資之函文影本。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（本公司或母公司赴中國大陸</w:t>
            </w:r>
            <w:r w:rsidR="00E01EF5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或其他國家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投資）</w:t>
            </w:r>
          </w:p>
          <w:p w14:paraId="08A1C3F6" w14:textId="04FFBA2C" w:rsidR="00785790" w:rsidRPr="009F56DF" w:rsidRDefault="00F25442" w:rsidP="00F25442">
            <w:pPr>
              <w:spacing w:line="24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 4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.適用資格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之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相關證明文件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或說明資料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</w:t>
            </w:r>
          </w:p>
          <w:p w14:paraId="05E6AF21" w14:textId="2FA5BA8C" w:rsidR="000952E4" w:rsidRPr="009F56DF" w:rsidRDefault="00AF2F25" w:rsidP="001779CC">
            <w:pPr>
              <w:spacing w:line="240" w:lineRule="exact"/>
              <w:ind w:leftChars="105" w:left="602" w:hangingChars="175" w:hanging="350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 xml:space="preserve"> 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r w:rsidR="00F2544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1</w:t>
            </w:r>
            <w:r w:rsidR="00F3716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</w:t>
            </w:r>
            <w:r w:rsidR="000952E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製造業：</w:t>
            </w:r>
          </w:p>
          <w:p w14:paraId="695059C2" w14:textId="77777777" w:rsidR="000952E4" w:rsidRPr="009F56DF" w:rsidRDefault="000952E4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逐步落實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減碳排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：應自行說明符合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之減碳項目</w:t>
            </w:r>
            <w:proofErr w:type="gramEnd"/>
          </w:p>
          <w:p w14:paraId="09ECD0D8" w14:textId="24F94612" w:rsidR="000952E4" w:rsidRPr="009F56DF" w:rsidRDefault="00654621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產線需具備人工智慧運用元素</w:t>
            </w:r>
            <w:r w:rsidR="000952E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：應自行說明符合之技術或功能</w:t>
            </w:r>
          </w:p>
          <w:p w14:paraId="020E172E" w14:textId="0D641592" w:rsidR="000952E4" w:rsidRPr="009F56DF" w:rsidRDefault="009F1BA3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屬五大信賴產業、大健康產業、六大核心戰略產業或五加二產業創新領域</w:t>
            </w:r>
            <w:r w:rsidR="000952E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：應自行說明符合之產業</w:t>
            </w:r>
          </w:p>
          <w:p w14:paraId="48D8B9B0" w14:textId="77777777" w:rsidR="000952E4" w:rsidRPr="009F56DF" w:rsidRDefault="000952E4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530DC7BC" w14:textId="77777777" w:rsidR="000952E4" w:rsidRPr="009F56DF" w:rsidRDefault="000952E4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國際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供應鏈居於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關鍵地位:如採購合約書等證明文件</w:t>
            </w:r>
          </w:p>
          <w:p w14:paraId="6C43BB75" w14:textId="77777777" w:rsidR="000952E4" w:rsidRPr="009F56DF" w:rsidRDefault="000952E4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書等足資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證明文件</w:t>
            </w:r>
          </w:p>
          <w:p w14:paraId="00E657F5" w14:textId="02A5C53F" w:rsidR="00F37162" w:rsidRPr="009F56DF" w:rsidRDefault="009F1BA3" w:rsidP="000952E4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經認定</w:t>
            </w:r>
            <w:r w:rsidR="000952E4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投資項目與國家重點產業政策相關：應自行說明相關證明文件</w:t>
            </w:r>
          </w:p>
          <w:p w14:paraId="2C1A1889" w14:textId="0307AD79" w:rsidR="000952E4" w:rsidRPr="009F56DF" w:rsidRDefault="000952E4" w:rsidP="000952E4">
            <w:pPr>
              <w:spacing w:line="240" w:lineRule="exact"/>
              <w:ind w:leftChars="156" w:left="659" w:hanging="285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r w:rsidR="00F25442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2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</w:t>
            </w:r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服務業：服務能量需具備人工智慧運用元素，投資項目與國家重點產業政策相關，且逐步落實</w:t>
            </w:r>
            <w:proofErr w:type="gramStart"/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減碳排</w:t>
            </w:r>
            <w:proofErr w:type="gramEnd"/>
            <w:r w:rsidR="002E1358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之企業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：應自行說明相關證明文件。</w:t>
            </w:r>
          </w:p>
          <w:p w14:paraId="4DE4E376" w14:textId="77777777" w:rsidR="00F25442" w:rsidRPr="009F56DF" w:rsidRDefault="00F25442" w:rsidP="000952E4">
            <w:pPr>
              <w:spacing w:line="240" w:lineRule="exact"/>
              <w:ind w:leftChars="156" w:left="659" w:hanging="285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5.如有工廠登記者，檢附工廠登記證明資料。</w:t>
            </w:r>
          </w:p>
          <w:p w14:paraId="51974BA5" w14:textId="449CE778" w:rsidR="00F25442" w:rsidRPr="009F56DF" w:rsidRDefault="00F25442" w:rsidP="00F25442">
            <w:pPr>
              <w:spacing w:line="240" w:lineRule="exact"/>
              <w:ind w:leftChars="156" w:left="659" w:hanging="285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6.如為中小企業，</w:t>
            </w:r>
            <w:r w:rsidR="001C546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檢附下列認定文件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：</w:t>
            </w:r>
          </w:p>
          <w:p w14:paraId="343DE2E4" w14:textId="333EC5A5" w:rsidR="00F25442" w:rsidRPr="009F56DF" w:rsidRDefault="00F25442" w:rsidP="00F25442">
            <w:pPr>
              <w:spacing w:line="240" w:lineRule="exact"/>
              <w:ind w:leftChars="156" w:left="659" w:hanging="285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(1)</w:t>
            </w:r>
            <w:r w:rsidR="001C546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最近一年加蓋稅捐</w:t>
            </w:r>
            <w:proofErr w:type="gramStart"/>
            <w:r w:rsidR="001C546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稽</w:t>
            </w:r>
            <w:proofErr w:type="gramEnd"/>
            <w:r w:rsidR="001C546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徵機關收件戳之營利事業所得稅結算申報書之損益及稅額計算表、資產負債表；若設立未滿一年，檢附已完成申報之各期營業人銷售額與稅額申報書。</w:t>
            </w:r>
          </w:p>
          <w:p w14:paraId="45361886" w14:textId="5215D301" w:rsidR="00F25442" w:rsidRPr="009F56DF" w:rsidRDefault="00F25442" w:rsidP="00F25442">
            <w:pPr>
              <w:spacing w:line="240" w:lineRule="exact"/>
              <w:ind w:leftChars="156" w:left="659" w:hanging="285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(2)</w:t>
            </w:r>
            <w:r w:rsidR="001C5463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最近一期營業人銷售額與稅額申報書。</w:t>
            </w:r>
          </w:p>
          <w:p w14:paraId="4D103A14" w14:textId="1152BC4A" w:rsidR="00F25442" w:rsidRPr="009F56DF" w:rsidRDefault="001C5463" w:rsidP="00F25442">
            <w:pPr>
              <w:spacing w:line="240" w:lineRule="exact"/>
              <w:ind w:leftChars="156" w:left="659" w:hanging="285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(3)公司所屬投保單位之最近十二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個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月勞動部勞工保險局投保單位人數資料表；若投保期間未達十二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個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月，檢附實際投保月份之上述資料表。</w:t>
            </w:r>
          </w:p>
        </w:tc>
        <w:tc>
          <w:tcPr>
            <w:tcW w:w="4445" w:type="dxa"/>
            <w:gridSpan w:val="3"/>
          </w:tcPr>
          <w:p w14:paraId="51CD7085" w14:textId="4BB42136" w:rsidR="00E678F1" w:rsidRPr="009F56DF" w:rsidRDefault="00F37162" w:rsidP="00E678F1">
            <w:pPr>
              <w:spacing w:line="280" w:lineRule="exact"/>
              <w:ind w:leftChars="10" w:left="420" w:hangingChars="198" w:hanging="396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r w:rsidR="00F1127F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十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</w:t>
            </w:r>
            <w:r w:rsidR="00E678F1" w:rsidRPr="009F56DF">
              <w:rPr>
                <w:rFonts w:hint="eastAsia"/>
                <w:color w:val="0D0D0D" w:themeColor="text1" w:themeTint="F2"/>
              </w:rPr>
              <w:t xml:space="preserve"> </w:t>
            </w:r>
            <w:r w:rsidR="00E678F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最近一年無違反環境保護、勞工或食品安全衛生相關法律，且經各該法律主管機關認定為情節重大。</w:t>
            </w:r>
          </w:p>
          <w:p w14:paraId="0C983C7C" w14:textId="7BD7A2CC" w:rsidR="00F37162" w:rsidRPr="009F56DF" w:rsidRDefault="008F7E51" w:rsidP="00E678F1">
            <w:pPr>
              <w:spacing w:line="280" w:lineRule="exact"/>
              <w:ind w:leftChars="-61" w:left="420" w:hangingChars="236" w:hanging="566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hint="eastAsia"/>
                <w:color w:val="0D0D0D" w:themeColor="text1" w:themeTint="F2"/>
              </w:rPr>
              <w:t xml:space="preserve"> </w:t>
            </w:r>
            <w:r w:rsidR="00E678F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(十一)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投資計畫書有關投資地點、生產項目、完成期限等內容有變更時，應於投資完成前向投資臺灣事務所申請投資計畫書變更。前</w:t>
            </w:r>
            <w:r w:rsidR="007A318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述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投資計畫書之變更，應提報本部核定；必要時，得提報審查會審查後核定。變更事項為延長完成期限者，延長期間不得超過二年。</w:t>
            </w:r>
          </w:p>
          <w:p w14:paraId="25F0021F" w14:textId="661AA337" w:rsidR="00F37162" w:rsidRPr="009F56DF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b/>
                <w:color w:val="0D0D0D" w:themeColor="text1" w:themeTint="F2"/>
                <w:sz w:val="20"/>
                <w:szCs w:val="20"/>
              </w:rPr>
              <w:t>(十</w:t>
            </w:r>
            <w:r w:rsidR="00E678F1" w:rsidRPr="009F56DF">
              <w:rPr>
                <w:rFonts w:ascii="微軟正黑體" w:eastAsia="微軟正黑體" w:hAnsi="微軟正黑體" w:cs="Times New Roman" w:hint="eastAsia"/>
                <w:b/>
                <w:color w:val="0D0D0D" w:themeColor="text1" w:themeTint="F2"/>
                <w:sz w:val="20"/>
                <w:szCs w:val="20"/>
              </w:rPr>
              <w:t>二</w:t>
            </w:r>
            <w:r w:rsidRPr="009F56DF">
              <w:rPr>
                <w:rFonts w:ascii="微軟正黑體" w:eastAsia="微軟正黑體" w:hAnsi="微軟正黑體" w:cs="Times New Roman" w:hint="eastAsia"/>
                <w:b/>
                <w:color w:val="0D0D0D" w:themeColor="text1" w:themeTint="F2"/>
                <w:sz w:val="20"/>
                <w:szCs w:val="20"/>
              </w:rPr>
              <w:t>)專人專案客製化服務：</w:t>
            </w:r>
          </w:p>
          <w:p w14:paraId="038E3908" w14:textId="578748B1" w:rsidR="00F37162" w:rsidRPr="009F56DF" w:rsidRDefault="00F37162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b/>
                <w:color w:val="0D0D0D" w:themeColor="text1" w:themeTint="F2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022E8C40" w14:textId="3CA73208" w:rsidR="00F37162" w:rsidRPr="009F56DF" w:rsidRDefault="00F37162" w:rsidP="00775429">
            <w:pPr>
              <w:spacing w:line="240" w:lineRule="exact"/>
              <w:ind w:left="540" w:hangingChars="270" w:hanging="540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(十</w:t>
            </w:r>
            <w:r w:rsidR="00E678F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三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項次（六）新增藍領外籍員工人數，僅先以各級別試行計算。正式申請聘僱製造業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外籍</w:t>
            </w:r>
            <w:r w:rsidR="006D3C4F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移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工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，需以經濟部</w:t>
            </w:r>
            <w:r w:rsidR="00E44EBB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產業發展署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20"/>
                <w:szCs w:val="20"/>
              </w:rPr>
              <w:t>核定行業別及級別列計聘僱人數</w:t>
            </w:r>
          </w:p>
          <w:p w14:paraId="4EC72A66" w14:textId="3E7D1983" w:rsidR="00F37162" w:rsidRPr="009F56DF" w:rsidRDefault="00F37162" w:rsidP="005E5703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(十</w:t>
            </w:r>
            <w:r w:rsidR="00E678F1"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四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) 本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書表請以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「投資臺灣入口網」網站最新版本為主，請下載填寫</w:t>
            </w:r>
            <w:r w:rsidRPr="009F56DF"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  <w:br/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kern w:val="0"/>
                <w:sz w:val="16"/>
                <w:szCs w:val="24"/>
              </w:rPr>
              <w:t>網址: https://investtaiwan.nat.gov.tw/)</w:t>
            </w:r>
          </w:p>
          <w:p w14:paraId="7534D164" w14:textId="0651D694" w:rsidR="00F37162" w:rsidRPr="009F56DF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0CA198F3" w14:textId="6324B408" w:rsidR="00F37162" w:rsidRPr="009F56DF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121B9217" w14:textId="46C04782" w:rsidR="005E5703" w:rsidRPr="009F56DF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5984272F" w14:textId="3DE01190" w:rsidR="005E5703" w:rsidRPr="009F56DF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580E92D5" w14:textId="4223E732" w:rsidR="005E5703" w:rsidRPr="009F56DF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62D9F7CC" w14:textId="02FB34A3" w:rsidR="005E5703" w:rsidRPr="009F56DF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7A1F09A2" w14:textId="13C18371" w:rsidR="00011AA7" w:rsidRPr="009F56DF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0635ED87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5E001C5F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44D9B01C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0F601F91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3B8F0A7F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06B54A49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491C407A" w14:textId="77777777" w:rsidR="000952E4" w:rsidRPr="009F56DF" w:rsidRDefault="000952E4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01DC4CB6" w14:textId="7B77A09B" w:rsidR="00011AA7" w:rsidRPr="009F56DF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375946E2" w14:textId="77777777" w:rsidR="00011AA7" w:rsidRPr="009F56DF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</w:p>
          <w:p w14:paraId="49B258E8" w14:textId="77777777" w:rsidR="00F37162" w:rsidRPr="009F56DF" w:rsidRDefault="00F37162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D0D0D" w:themeColor="text1" w:themeTint="F2"/>
                <w:sz w:val="20"/>
                <w:szCs w:val="20"/>
              </w:rPr>
            </w:pPr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(</w:t>
            </w:r>
            <w:proofErr w:type="gramStart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請蓋公司</w:t>
            </w:r>
            <w:proofErr w:type="gramEnd"/>
            <w:r w:rsidRPr="009F56DF">
              <w:rPr>
                <w:rFonts w:ascii="微軟正黑體" w:eastAsia="微軟正黑體" w:hAnsi="微軟正黑體" w:cs="Times New Roman" w:hint="eastAsia"/>
                <w:color w:val="0D0D0D" w:themeColor="text1" w:themeTint="F2"/>
                <w:sz w:val="20"/>
                <w:szCs w:val="20"/>
              </w:rPr>
              <w:t>登記印鑑章及負責人登記印鑑章)</w:t>
            </w:r>
          </w:p>
        </w:tc>
      </w:tr>
    </w:tbl>
    <w:p w14:paraId="2281CD6B" w14:textId="29095971" w:rsidR="00B35547" w:rsidRPr="009F56DF" w:rsidRDefault="00775429">
      <w:pPr>
        <w:rPr>
          <w:rFonts w:ascii="微軟正黑體" w:eastAsia="微軟正黑體" w:hAnsi="微軟正黑體" w:cs="Times New Roman"/>
          <w:color w:val="0D0D0D" w:themeColor="text1" w:themeTint="F2"/>
          <w:kern w:val="0"/>
          <w:sz w:val="16"/>
          <w:szCs w:val="24"/>
        </w:rPr>
      </w:pPr>
      <w:r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送件地址：</w:t>
      </w:r>
      <w:r w:rsidR="00E44EBB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100031 臺北市中正區愛國東路82號1樓</w:t>
      </w:r>
      <w:r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 xml:space="preserve"> 投資臺灣事務所   服務電話：(02)2311-2031    </w:t>
      </w:r>
      <w:r w:rsidR="00B13D85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 xml:space="preserve">           1</w:t>
      </w:r>
      <w:r w:rsidR="00D53AE6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1</w:t>
      </w:r>
      <w:r w:rsidR="00F56C01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4</w:t>
      </w:r>
      <w:r w:rsidR="00B13D85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年</w:t>
      </w:r>
      <w:r w:rsidR="00EE3404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8</w:t>
      </w:r>
      <w:r w:rsidR="00B13D85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月版</w:t>
      </w:r>
      <w:r w:rsidR="00B35547" w:rsidRPr="009F56DF">
        <w:rPr>
          <w:rFonts w:ascii="微軟正黑體" w:eastAsia="微軟正黑體" w:hAnsi="微軟正黑體" w:cs="Times New Roman" w:hint="eastAsia"/>
          <w:color w:val="0D0D0D" w:themeColor="text1" w:themeTint="F2"/>
          <w:kern w:val="0"/>
          <w:sz w:val="16"/>
          <w:szCs w:val="24"/>
        </w:rPr>
        <w:t>本</w:t>
      </w:r>
    </w:p>
    <w:sectPr w:rsidR="00B35547" w:rsidRPr="009F56DF" w:rsidSect="00E36E04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DFC4" w14:textId="77777777" w:rsidR="00DD7FCB" w:rsidRDefault="00DD7FCB" w:rsidP="00BE61B9">
      <w:r>
        <w:separator/>
      </w:r>
    </w:p>
  </w:endnote>
  <w:endnote w:type="continuationSeparator" w:id="0">
    <w:p w14:paraId="7A9D0CAD" w14:textId="77777777" w:rsidR="00DD7FCB" w:rsidRDefault="00DD7FCB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467C" w14:textId="77777777" w:rsidR="00DD7FCB" w:rsidRDefault="00DD7FCB" w:rsidP="00BE61B9">
      <w:r>
        <w:separator/>
      </w:r>
    </w:p>
  </w:footnote>
  <w:footnote w:type="continuationSeparator" w:id="0">
    <w:p w14:paraId="0C8FB6D6" w14:textId="77777777" w:rsidR="00DD7FCB" w:rsidRDefault="00DD7FCB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9F9"/>
    <w:multiLevelType w:val="hybridMultilevel"/>
    <w:tmpl w:val="5534022E"/>
    <w:lvl w:ilvl="0" w:tplc="04090001">
      <w:start w:val="1"/>
      <w:numFmt w:val="bullet"/>
      <w:lvlText w:val=""/>
      <w:lvlJc w:val="left"/>
      <w:pPr>
        <w:ind w:left="10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2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80"/>
      </w:pPr>
      <w:rPr>
        <w:rFonts w:ascii="Wingdings" w:hAnsi="Wingdings" w:hint="default"/>
      </w:rPr>
    </w:lvl>
  </w:abstractNum>
  <w:abstractNum w:abstractNumId="1" w15:restartNumberingAfterBreak="0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2" w15:restartNumberingAfterBreak="0">
    <w:nsid w:val="7CA06B58"/>
    <w:multiLevelType w:val="hybridMultilevel"/>
    <w:tmpl w:val="D4CC186E"/>
    <w:lvl w:ilvl="0" w:tplc="04090001">
      <w:start w:val="1"/>
      <w:numFmt w:val="bullet"/>
      <w:lvlText w:val=""/>
      <w:lvlJc w:val="left"/>
      <w:pPr>
        <w:ind w:left="7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num w:numId="1" w16cid:durableId="1412197076">
    <w:abstractNumId w:val="0"/>
  </w:num>
  <w:num w:numId="2" w16cid:durableId="261227717">
    <w:abstractNumId w:val="1"/>
  </w:num>
  <w:num w:numId="3" w16cid:durableId="121084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11A5A"/>
    <w:rsid w:val="00011AA7"/>
    <w:rsid w:val="00033E32"/>
    <w:rsid w:val="0004395A"/>
    <w:rsid w:val="000567C3"/>
    <w:rsid w:val="00056A86"/>
    <w:rsid w:val="000635C3"/>
    <w:rsid w:val="00071051"/>
    <w:rsid w:val="00083E24"/>
    <w:rsid w:val="00093FB6"/>
    <w:rsid w:val="000952E4"/>
    <w:rsid w:val="000D5492"/>
    <w:rsid w:val="00122EDB"/>
    <w:rsid w:val="001601AE"/>
    <w:rsid w:val="00167FFC"/>
    <w:rsid w:val="001779CC"/>
    <w:rsid w:val="0018101F"/>
    <w:rsid w:val="0019389E"/>
    <w:rsid w:val="001A1274"/>
    <w:rsid w:val="001B05F2"/>
    <w:rsid w:val="001C0F9D"/>
    <w:rsid w:val="001C5463"/>
    <w:rsid w:val="001E0772"/>
    <w:rsid w:val="001E4FBC"/>
    <w:rsid w:val="002038A9"/>
    <w:rsid w:val="00207501"/>
    <w:rsid w:val="00222E56"/>
    <w:rsid w:val="002379E3"/>
    <w:rsid w:val="0025401A"/>
    <w:rsid w:val="002720CC"/>
    <w:rsid w:val="00280BF1"/>
    <w:rsid w:val="002D12D4"/>
    <w:rsid w:val="002D3C11"/>
    <w:rsid w:val="002E1358"/>
    <w:rsid w:val="00311E2C"/>
    <w:rsid w:val="00312482"/>
    <w:rsid w:val="00315C53"/>
    <w:rsid w:val="0033338C"/>
    <w:rsid w:val="00342A21"/>
    <w:rsid w:val="00360F3D"/>
    <w:rsid w:val="0036101E"/>
    <w:rsid w:val="0036372C"/>
    <w:rsid w:val="00376839"/>
    <w:rsid w:val="00393764"/>
    <w:rsid w:val="003B49EB"/>
    <w:rsid w:val="003B79F2"/>
    <w:rsid w:val="003B7CC7"/>
    <w:rsid w:val="003D0D00"/>
    <w:rsid w:val="003D687E"/>
    <w:rsid w:val="00402E3D"/>
    <w:rsid w:val="004137E1"/>
    <w:rsid w:val="004313D1"/>
    <w:rsid w:val="00454ACE"/>
    <w:rsid w:val="00486B85"/>
    <w:rsid w:val="00487DCA"/>
    <w:rsid w:val="00492153"/>
    <w:rsid w:val="00493756"/>
    <w:rsid w:val="00497402"/>
    <w:rsid w:val="004D27A8"/>
    <w:rsid w:val="004D644C"/>
    <w:rsid w:val="004E05DA"/>
    <w:rsid w:val="004E4C2A"/>
    <w:rsid w:val="004F2F9C"/>
    <w:rsid w:val="00503873"/>
    <w:rsid w:val="00524348"/>
    <w:rsid w:val="0054377C"/>
    <w:rsid w:val="00550841"/>
    <w:rsid w:val="00553245"/>
    <w:rsid w:val="00574597"/>
    <w:rsid w:val="00581273"/>
    <w:rsid w:val="0059715B"/>
    <w:rsid w:val="005B5289"/>
    <w:rsid w:val="005B7860"/>
    <w:rsid w:val="005C0300"/>
    <w:rsid w:val="005C5468"/>
    <w:rsid w:val="005E5703"/>
    <w:rsid w:val="005F7961"/>
    <w:rsid w:val="00614FC4"/>
    <w:rsid w:val="00617076"/>
    <w:rsid w:val="00617AA3"/>
    <w:rsid w:val="00627EA2"/>
    <w:rsid w:val="006355B0"/>
    <w:rsid w:val="00640975"/>
    <w:rsid w:val="00654621"/>
    <w:rsid w:val="006609EA"/>
    <w:rsid w:val="00661568"/>
    <w:rsid w:val="006641AD"/>
    <w:rsid w:val="0067294A"/>
    <w:rsid w:val="00674A23"/>
    <w:rsid w:val="006A1F21"/>
    <w:rsid w:val="006B4F22"/>
    <w:rsid w:val="006D29AD"/>
    <w:rsid w:val="006D3C4F"/>
    <w:rsid w:val="006D5126"/>
    <w:rsid w:val="00714FB2"/>
    <w:rsid w:val="00722165"/>
    <w:rsid w:val="00765A66"/>
    <w:rsid w:val="00772170"/>
    <w:rsid w:val="00775429"/>
    <w:rsid w:val="00784DE9"/>
    <w:rsid w:val="00785790"/>
    <w:rsid w:val="00785DF6"/>
    <w:rsid w:val="00791F3D"/>
    <w:rsid w:val="007A238D"/>
    <w:rsid w:val="007A3181"/>
    <w:rsid w:val="007A4519"/>
    <w:rsid w:val="007B1582"/>
    <w:rsid w:val="007B5629"/>
    <w:rsid w:val="007C39E7"/>
    <w:rsid w:val="007F0EC4"/>
    <w:rsid w:val="00805D9A"/>
    <w:rsid w:val="008469AA"/>
    <w:rsid w:val="008571DD"/>
    <w:rsid w:val="00890856"/>
    <w:rsid w:val="008B5D91"/>
    <w:rsid w:val="008B6A3D"/>
    <w:rsid w:val="008E2268"/>
    <w:rsid w:val="008F7E51"/>
    <w:rsid w:val="00902043"/>
    <w:rsid w:val="00910C6F"/>
    <w:rsid w:val="00915B72"/>
    <w:rsid w:val="009277B4"/>
    <w:rsid w:val="0093100B"/>
    <w:rsid w:val="009400EF"/>
    <w:rsid w:val="00951FCB"/>
    <w:rsid w:val="00955B5D"/>
    <w:rsid w:val="009844A3"/>
    <w:rsid w:val="009D2E63"/>
    <w:rsid w:val="009F1BA3"/>
    <w:rsid w:val="009F56DF"/>
    <w:rsid w:val="00A0480E"/>
    <w:rsid w:val="00A07A87"/>
    <w:rsid w:val="00A1526A"/>
    <w:rsid w:val="00A17BEC"/>
    <w:rsid w:val="00A25F7F"/>
    <w:rsid w:val="00A37E27"/>
    <w:rsid w:val="00A6100D"/>
    <w:rsid w:val="00A75367"/>
    <w:rsid w:val="00A940C6"/>
    <w:rsid w:val="00AB11AC"/>
    <w:rsid w:val="00AB38A7"/>
    <w:rsid w:val="00AD2262"/>
    <w:rsid w:val="00AF2F25"/>
    <w:rsid w:val="00B01333"/>
    <w:rsid w:val="00B1245E"/>
    <w:rsid w:val="00B13D85"/>
    <w:rsid w:val="00B22067"/>
    <w:rsid w:val="00B2536E"/>
    <w:rsid w:val="00B35547"/>
    <w:rsid w:val="00B44188"/>
    <w:rsid w:val="00B502B2"/>
    <w:rsid w:val="00B6042A"/>
    <w:rsid w:val="00B61FCB"/>
    <w:rsid w:val="00B757A0"/>
    <w:rsid w:val="00B76479"/>
    <w:rsid w:val="00BB2320"/>
    <w:rsid w:val="00BE2A57"/>
    <w:rsid w:val="00BE61B9"/>
    <w:rsid w:val="00BF01BB"/>
    <w:rsid w:val="00C1172F"/>
    <w:rsid w:val="00C23112"/>
    <w:rsid w:val="00C43361"/>
    <w:rsid w:val="00C623D9"/>
    <w:rsid w:val="00CE142D"/>
    <w:rsid w:val="00CE6CFA"/>
    <w:rsid w:val="00D017E8"/>
    <w:rsid w:val="00D13451"/>
    <w:rsid w:val="00D13F78"/>
    <w:rsid w:val="00D247E5"/>
    <w:rsid w:val="00D50C31"/>
    <w:rsid w:val="00D53AE6"/>
    <w:rsid w:val="00D760EB"/>
    <w:rsid w:val="00D80ACA"/>
    <w:rsid w:val="00D85984"/>
    <w:rsid w:val="00D871BA"/>
    <w:rsid w:val="00D93361"/>
    <w:rsid w:val="00DD0FF8"/>
    <w:rsid w:val="00DD5953"/>
    <w:rsid w:val="00DD7FCB"/>
    <w:rsid w:val="00DE02A7"/>
    <w:rsid w:val="00DE3643"/>
    <w:rsid w:val="00DF07FA"/>
    <w:rsid w:val="00E01EF5"/>
    <w:rsid w:val="00E149B9"/>
    <w:rsid w:val="00E36E04"/>
    <w:rsid w:val="00E40C56"/>
    <w:rsid w:val="00E44EBB"/>
    <w:rsid w:val="00E64C3D"/>
    <w:rsid w:val="00E678F1"/>
    <w:rsid w:val="00E7753A"/>
    <w:rsid w:val="00E837BE"/>
    <w:rsid w:val="00E9602F"/>
    <w:rsid w:val="00EA7417"/>
    <w:rsid w:val="00ED2EA7"/>
    <w:rsid w:val="00ED3D0D"/>
    <w:rsid w:val="00ED7653"/>
    <w:rsid w:val="00EE3404"/>
    <w:rsid w:val="00EE395A"/>
    <w:rsid w:val="00EF2F4D"/>
    <w:rsid w:val="00F1127F"/>
    <w:rsid w:val="00F1237F"/>
    <w:rsid w:val="00F16C41"/>
    <w:rsid w:val="00F2057D"/>
    <w:rsid w:val="00F25442"/>
    <w:rsid w:val="00F27539"/>
    <w:rsid w:val="00F37162"/>
    <w:rsid w:val="00F56C01"/>
    <w:rsid w:val="00F75460"/>
    <w:rsid w:val="00FA1F59"/>
    <w:rsid w:val="00FC6DB8"/>
    <w:rsid w:val="00FD1946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E2A5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2A57"/>
  </w:style>
  <w:style w:type="character" w:customStyle="1" w:styleId="a9">
    <w:name w:val="註解文字 字元"/>
    <w:basedOn w:val="a0"/>
    <w:link w:val="a8"/>
    <w:uiPriority w:val="99"/>
    <w:semiHidden/>
    <w:rsid w:val="00BE2A5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E2A5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E2A5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E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E2A5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1127F"/>
    <w:pPr>
      <w:ind w:leftChars="200" w:left="480"/>
    </w:pPr>
  </w:style>
  <w:style w:type="character" w:styleId="af">
    <w:name w:val="Hyperlink"/>
    <w:basedOn w:val="a0"/>
    <w:uiPriority w:val="99"/>
    <w:unhideWhenUsed/>
    <w:rsid w:val="00B13D8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3805-5DC5-4F3E-B5EC-B106680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Ministry of Economic Affairs,R.O.C.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陳瀅如</dc:creator>
  <cp:lastModifiedBy>林育伊</cp:lastModifiedBy>
  <cp:revision>2</cp:revision>
  <cp:lastPrinted>2025-07-22T08:34:00Z</cp:lastPrinted>
  <dcterms:created xsi:type="dcterms:W3CDTF">2025-08-14T06:40:00Z</dcterms:created>
  <dcterms:modified xsi:type="dcterms:W3CDTF">2025-08-14T06:40:00Z</dcterms:modified>
</cp:coreProperties>
</file>